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39675" w14:textId="786008C5" w:rsidR="00771906" w:rsidRDefault="003E610E" w:rsidP="00CD42F7">
      <w:pPr>
        <w:spacing w:after="120" w:line="240" w:lineRule="auto"/>
        <w:jc w:val="both"/>
        <w:rPr>
          <w:rFonts w:cs="Times New Roman"/>
          <w:sz w:val="22"/>
          <w:lang w:val="en-GB"/>
        </w:rPr>
      </w:pPr>
      <w:r>
        <w:rPr>
          <w:rFonts w:cs="Times New Roman"/>
          <w:sz w:val="22"/>
          <w:lang w:val="en-GB"/>
        </w:rPr>
        <w:t>Dear colleagues!</w:t>
      </w:r>
    </w:p>
    <w:p w14:paraId="7E082500" w14:textId="41C16AC4" w:rsidR="00771906" w:rsidRPr="007B047D" w:rsidRDefault="00771906" w:rsidP="00771906">
      <w:pPr>
        <w:spacing w:after="120" w:line="240" w:lineRule="auto"/>
        <w:jc w:val="both"/>
        <w:rPr>
          <w:rFonts w:cs="Times New Roman"/>
          <w:sz w:val="22"/>
          <w:lang w:val="en-GB"/>
        </w:rPr>
      </w:pPr>
      <w:r w:rsidRPr="007B047D">
        <w:rPr>
          <w:rFonts w:cs="Times New Roman"/>
          <w:sz w:val="22"/>
          <w:lang w:val="en-GB"/>
        </w:rPr>
        <w:t>The State Audit Office of the Republic of Latvia is currently conducting an audit in the forestry sector, examining how supervision of the state joint-stock company “Latvijas valsts meži”, which manages and operates Latvia</w:t>
      </w:r>
      <w:r w:rsidR="00B778AC" w:rsidRPr="007B047D">
        <w:rPr>
          <w:rFonts w:cs="Times New Roman"/>
          <w:sz w:val="22"/>
          <w:lang w:val="en-GB"/>
        </w:rPr>
        <w:t>’s</w:t>
      </w:r>
      <w:r w:rsidRPr="007B047D">
        <w:rPr>
          <w:rFonts w:cs="Times New Roman"/>
          <w:sz w:val="22"/>
          <w:lang w:val="en-GB"/>
        </w:rPr>
        <w:t xml:space="preserve"> state forest properties, is ensured.</w:t>
      </w:r>
    </w:p>
    <w:p w14:paraId="636A2979" w14:textId="77777777" w:rsidR="007B047D" w:rsidRPr="007B047D" w:rsidRDefault="007B047D" w:rsidP="007B047D">
      <w:pPr>
        <w:spacing w:after="120"/>
        <w:jc w:val="both"/>
        <w:rPr>
          <w:rFonts w:cs="Times New Roman"/>
          <w:sz w:val="22"/>
          <w:lang w:val="en-GB"/>
        </w:rPr>
      </w:pPr>
      <w:r w:rsidRPr="007B047D">
        <w:rPr>
          <w:rFonts w:cs="Times New Roman"/>
          <w:sz w:val="22"/>
          <w:lang w:val="en-GB"/>
        </w:rPr>
        <w:t xml:space="preserve">According to publicly available information </w:t>
      </w:r>
      <w:r w:rsidRPr="007B047D">
        <w:rPr>
          <w:rFonts w:cs="Times New Roman"/>
          <w:i/>
          <w:iCs/>
          <w:sz w:val="22"/>
          <w:lang w:val="en-GB"/>
        </w:rPr>
        <w:t>State Forest Management Centre (Riigimetsa Majandamise Keskus (RMK))</w:t>
      </w:r>
      <w:r w:rsidRPr="007B047D">
        <w:rPr>
          <w:rFonts w:cs="Times New Roman"/>
          <w:sz w:val="22"/>
          <w:lang w:val="en-GB"/>
        </w:rPr>
        <w:t xml:space="preserve"> manages Estonia’s state-owned forests and other state natural areas.</w:t>
      </w:r>
    </w:p>
    <w:p w14:paraId="19806418" w14:textId="1CAD24B0" w:rsidR="00771906" w:rsidRPr="007B047D" w:rsidRDefault="00771906" w:rsidP="00771906">
      <w:pPr>
        <w:spacing w:after="120" w:line="240" w:lineRule="auto"/>
        <w:jc w:val="both"/>
        <w:rPr>
          <w:rFonts w:cs="Times New Roman"/>
          <w:sz w:val="22"/>
          <w:lang w:val="en-GB"/>
        </w:rPr>
      </w:pPr>
      <w:proofErr w:type="gramStart"/>
      <w:r w:rsidRPr="007B047D">
        <w:rPr>
          <w:rFonts w:cs="Times New Roman"/>
          <w:sz w:val="22"/>
          <w:lang w:val="en-GB"/>
        </w:rPr>
        <w:t>In order to</w:t>
      </w:r>
      <w:proofErr w:type="gramEnd"/>
      <w:r w:rsidRPr="007B047D">
        <w:rPr>
          <w:rFonts w:cs="Times New Roman"/>
          <w:sz w:val="22"/>
          <w:lang w:val="en-GB"/>
        </w:rPr>
        <w:t xml:space="preserve"> gain a broader picture of the situation in other Baltic States, we would like to ask you to provide information on issues related to the sale of wood products and payments for the use of state capital (dividends) by the company that manages Estonia’s state forests.</w:t>
      </w:r>
    </w:p>
    <w:p w14:paraId="7ABADEB2" w14:textId="6C1D66AE" w:rsidR="00CD42F7" w:rsidRPr="00771906" w:rsidRDefault="00771906" w:rsidP="00771906">
      <w:pPr>
        <w:spacing w:after="120" w:line="240" w:lineRule="auto"/>
        <w:jc w:val="both"/>
        <w:rPr>
          <w:color w:val="0070C0"/>
          <w:sz w:val="22"/>
          <w:lang w:val="en-GB"/>
        </w:rPr>
      </w:pPr>
      <w:r>
        <w:rPr>
          <w:color w:val="0070C0"/>
          <w:sz w:val="22"/>
          <w:lang w:val="en-GB"/>
        </w:rPr>
        <w:t>Sale of round timber</w:t>
      </w:r>
    </w:p>
    <w:p w14:paraId="6DFE5B8E" w14:textId="453AED4B" w:rsidR="00CD42F7" w:rsidRPr="00771906" w:rsidRDefault="00771906" w:rsidP="00CD42F7">
      <w:pPr>
        <w:spacing w:after="120" w:line="240" w:lineRule="auto"/>
        <w:jc w:val="both"/>
        <w:rPr>
          <w:sz w:val="22"/>
          <w:lang w:val="en-GB"/>
        </w:rPr>
      </w:pPr>
      <w:r w:rsidRPr="00771906">
        <w:rPr>
          <w:rFonts w:cs="Times New Roman"/>
          <w:sz w:val="22"/>
          <w:lang w:val="en-GB"/>
        </w:rPr>
        <w:t>According to publicly available information</w:t>
      </w:r>
      <w:r w:rsidR="00CD42F7" w:rsidRPr="00771906">
        <w:rPr>
          <w:rStyle w:val="FootnoteReference"/>
          <w:sz w:val="22"/>
          <w:lang w:val="en-GB"/>
        </w:rPr>
        <w:footnoteReference w:id="1"/>
      </w:r>
      <w:r w:rsidR="00CD42F7" w:rsidRPr="00771906">
        <w:rPr>
          <w:sz w:val="22"/>
          <w:lang w:val="en-GB"/>
        </w:rPr>
        <w:t xml:space="preserve"> </w:t>
      </w:r>
      <w:r w:rsidR="00182197" w:rsidRPr="00771906">
        <w:rPr>
          <w:i/>
          <w:iCs/>
          <w:sz w:val="22"/>
          <w:lang w:val="en-GB"/>
        </w:rPr>
        <w:t>State Forest Management Centre</w:t>
      </w:r>
      <w:r w:rsidR="00CD42F7" w:rsidRPr="00771906">
        <w:rPr>
          <w:sz w:val="22"/>
          <w:lang w:val="en-GB"/>
        </w:rPr>
        <w:t xml:space="preserve"> (</w:t>
      </w:r>
      <w:r w:rsidR="00CD42F7" w:rsidRPr="00771906">
        <w:rPr>
          <w:i/>
          <w:iCs/>
          <w:sz w:val="22"/>
          <w:lang w:val="en-GB"/>
        </w:rPr>
        <w:t>Riigimetsa Majandamise Keskus</w:t>
      </w:r>
      <w:r w:rsidR="00631941" w:rsidRPr="00771906">
        <w:rPr>
          <w:i/>
          <w:iCs/>
          <w:sz w:val="22"/>
          <w:lang w:val="en-GB"/>
        </w:rPr>
        <w:t xml:space="preserve"> (RMK</w:t>
      </w:r>
      <w:r w:rsidR="00CD42F7" w:rsidRPr="00771906">
        <w:rPr>
          <w:sz w:val="22"/>
          <w:lang w:val="en-GB"/>
        </w:rPr>
        <w:t>)</w:t>
      </w:r>
      <w:r w:rsidR="00631941" w:rsidRPr="00771906">
        <w:rPr>
          <w:sz w:val="22"/>
          <w:lang w:val="en-GB"/>
        </w:rPr>
        <w:t>)</w:t>
      </w:r>
      <w:r w:rsidR="00CD42F7" w:rsidRPr="00771906">
        <w:rPr>
          <w:sz w:val="22"/>
          <w:lang w:val="en-GB"/>
        </w:rPr>
        <w:t>:</w:t>
      </w:r>
    </w:p>
    <w:p w14:paraId="520B5165" w14:textId="26B27E25" w:rsidR="00CD42F7" w:rsidRPr="00771906" w:rsidRDefault="00CD42F7" w:rsidP="00CD42F7">
      <w:pPr>
        <w:pStyle w:val="ListParagraph"/>
        <w:numPr>
          <w:ilvl w:val="0"/>
          <w:numId w:val="1"/>
        </w:numPr>
        <w:spacing w:before="120" w:after="120" w:line="240" w:lineRule="auto"/>
        <w:ind w:left="714" w:hanging="357"/>
        <w:contextualSpacing w:val="0"/>
        <w:jc w:val="both"/>
        <w:rPr>
          <w:sz w:val="22"/>
          <w:lang w:val="en-GB"/>
        </w:rPr>
      </w:pPr>
      <w:r w:rsidRPr="00771906">
        <w:rPr>
          <w:sz w:val="22"/>
          <w:lang w:val="en-GB"/>
        </w:rPr>
        <w:t xml:space="preserve">up to 85% of </w:t>
      </w:r>
      <w:r w:rsidR="00631941" w:rsidRPr="00E4358E">
        <w:rPr>
          <w:i/>
          <w:iCs/>
          <w:sz w:val="22"/>
          <w:lang w:val="en-GB"/>
        </w:rPr>
        <w:t>State Forest Management Centre</w:t>
      </w:r>
      <w:r w:rsidRPr="00E4358E">
        <w:rPr>
          <w:i/>
          <w:iCs/>
          <w:sz w:val="22"/>
          <w:lang w:val="en-GB"/>
        </w:rPr>
        <w:t>’s</w:t>
      </w:r>
      <w:r w:rsidRPr="00771906">
        <w:rPr>
          <w:sz w:val="22"/>
          <w:lang w:val="en-GB"/>
        </w:rPr>
        <w:t xml:space="preserve"> annual roundwood volume is sold to processors </w:t>
      </w:r>
      <w:proofErr w:type="gramStart"/>
      <w:r w:rsidRPr="00771906">
        <w:rPr>
          <w:sz w:val="22"/>
          <w:lang w:val="en-GB"/>
        </w:rPr>
        <w:t>on the basis of</w:t>
      </w:r>
      <w:proofErr w:type="gramEnd"/>
      <w:r w:rsidRPr="00771906">
        <w:rPr>
          <w:sz w:val="22"/>
          <w:lang w:val="en-GB"/>
        </w:rPr>
        <w:t xml:space="preserve"> long-term contracts, while the rest is sold by other </w:t>
      </w:r>
      <w:proofErr w:type="gramStart"/>
      <w:r w:rsidRPr="00771906">
        <w:rPr>
          <w:sz w:val="22"/>
          <w:lang w:val="en-GB"/>
        </w:rPr>
        <w:t>means;</w:t>
      </w:r>
      <w:proofErr w:type="gramEnd"/>
    </w:p>
    <w:p w14:paraId="173E5E72" w14:textId="77777777" w:rsidR="00CD42F7" w:rsidRPr="00771906" w:rsidRDefault="00CD42F7" w:rsidP="00CD42F7">
      <w:pPr>
        <w:pStyle w:val="ListParagraph"/>
        <w:numPr>
          <w:ilvl w:val="0"/>
          <w:numId w:val="1"/>
        </w:numPr>
        <w:spacing w:before="120" w:after="120" w:line="240" w:lineRule="auto"/>
        <w:ind w:left="714" w:hanging="357"/>
        <w:contextualSpacing w:val="0"/>
        <w:jc w:val="both"/>
        <w:rPr>
          <w:sz w:val="22"/>
          <w:lang w:val="en-GB"/>
        </w:rPr>
      </w:pPr>
      <w:r w:rsidRPr="00771906">
        <w:rPr>
          <w:sz w:val="22"/>
          <w:lang w:val="en-GB"/>
        </w:rPr>
        <w:t xml:space="preserve">for roundwood sales, negotiations are held once a year for the purpose of entry into long-term contracts, while other sales methods are used according to the market situation and sales </w:t>
      </w:r>
      <w:proofErr w:type="gramStart"/>
      <w:r w:rsidRPr="00771906">
        <w:rPr>
          <w:sz w:val="22"/>
          <w:lang w:val="en-GB"/>
        </w:rPr>
        <w:t>needs;</w:t>
      </w:r>
      <w:proofErr w:type="gramEnd"/>
    </w:p>
    <w:p w14:paraId="4EB9EB38" w14:textId="77777777" w:rsidR="00CD42F7" w:rsidRDefault="00CD42F7" w:rsidP="00CD42F7">
      <w:pPr>
        <w:pStyle w:val="ListParagraph"/>
        <w:numPr>
          <w:ilvl w:val="0"/>
          <w:numId w:val="1"/>
        </w:numPr>
        <w:spacing w:before="120" w:after="120" w:line="240" w:lineRule="auto"/>
        <w:ind w:left="714" w:hanging="357"/>
        <w:contextualSpacing w:val="0"/>
        <w:jc w:val="both"/>
        <w:rPr>
          <w:sz w:val="22"/>
          <w:lang w:val="en-GB"/>
        </w:rPr>
      </w:pPr>
      <w:r w:rsidRPr="00771906">
        <w:rPr>
          <w:sz w:val="22"/>
          <w:lang w:val="en-GB"/>
        </w:rPr>
        <w:t xml:space="preserve">in the case of sales of roundwood at the agreed price, long-term contracts are generally entered into for a period of 5 years. Agreement on the exact volumes and price of the timber to be purchased are held each year for each delivery period separately. </w:t>
      </w:r>
    </w:p>
    <w:p w14:paraId="014B2F29" w14:textId="77777777" w:rsidR="00771906" w:rsidRPr="00771906" w:rsidRDefault="00771906" w:rsidP="00771906">
      <w:pPr>
        <w:spacing w:before="120" w:after="120" w:line="240" w:lineRule="auto"/>
        <w:jc w:val="both"/>
        <w:rPr>
          <w:sz w:val="22"/>
          <w:lang w:val="en-GB"/>
        </w:rPr>
      </w:pPr>
      <w:r w:rsidRPr="00771906">
        <w:rPr>
          <w:sz w:val="22"/>
          <w:lang w:val="en-GB"/>
        </w:rPr>
        <w:t xml:space="preserve">1. Please provide a more detailed explanation of the above information regarding the principles of determining the prices of round timber – spruce and pine sawlogs applied by the </w:t>
      </w:r>
      <w:r w:rsidRPr="00E4358E">
        <w:rPr>
          <w:i/>
          <w:iCs/>
          <w:sz w:val="22"/>
          <w:lang w:val="en-GB"/>
        </w:rPr>
        <w:t>State Forest Management Centre</w:t>
      </w:r>
      <w:r w:rsidRPr="00771906">
        <w:rPr>
          <w:sz w:val="22"/>
          <w:lang w:val="en-GB"/>
        </w:rPr>
        <w:t xml:space="preserve"> in </w:t>
      </w:r>
      <w:r w:rsidRPr="00656000">
        <w:rPr>
          <w:b/>
          <w:bCs/>
          <w:sz w:val="22"/>
          <w:lang w:val="en-GB"/>
        </w:rPr>
        <w:t>long-term contracts</w:t>
      </w:r>
      <w:r w:rsidRPr="00771906">
        <w:rPr>
          <w:sz w:val="22"/>
          <w:lang w:val="en-GB"/>
        </w:rPr>
        <w:t>.</w:t>
      </w:r>
    </w:p>
    <w:p w14:paraId="3C5CF436" w14:textId="41F401D3" w:rsidR="00771906" w:rsidRPr="00771906" w:rsidRDefault="00771906" w:rsidP="00656000">
      <w:pPr>
        <w:spacing w:before="120" w:after="120" w:line="240" w:lineRule="auto"/>
        <w:ind w:left="720"/>
        <w:jc w:val="both"/>
        <w:rPr>
          <w:sz w:val="22"/>
          <w:lang w:val="en-GB"/>
        </w:rPr>
      </w:pPr>
      <w:r w:rsidRPr="00771906">
        <w:rPr>
          <w:sz w:val="22"/>
          <w:lang w:val="en-GB"/>
        </w:rPr>
        <w:t xml:space="preserve">1.1. According to what principles/criteria is the price of spruce and pine sawlogs </w:t>
      </w:r>
      <w:r>
        <w:rPr>
          <w:sz w:val="22"/>
          <w:lang w:val="en-GB"/>
        </w:rPr>
        <w:t xml:space="preserve">determined </w:t>
      </w:r>
      <w:r w:rsidRPr="00771906">
        <w:rPr>
          <w:sz w:val="22"/>
          <w:lang w:val="en-GB"/>
        </w:rPr>
        <w:t xml:space="preserve">in long-term contracts (for example, </w:t>
      </w:r>
      <w:proofErr w:type="gramStart"/>
      <w:r w:rsidRPr="00771906">
        <w:rPr>
          <w:sz w:val="22"/>
          <w:lang w:val="en-GB"/>
        </w:rPr>
        <w:t>as a result of</w:t>
      </w:r>
      <w:proofErr w:type="gramEnd"/>
      <w:r w:rsidRPr="00771906">
        <w:rPr>
          <w:sz w:val="22"/>
          <w:lang w:val="en-GB"/>
        </w:rPr>
        <w:t xml:space="preserve"> auctions, evaluation of the price offered by buyers, average market price, etc.)?</w:t>
      </w:r>
    </w:p>
    <w:p w14:paraId="55119DEC" w14:textId="50ED2F01" w:rsidR="00771906" w:rsidRPr="00771906" w:rsidRDefault="00771906" w:rsidP="00656000">
      <w:pPr>
        <w:spacing w:before="120" w:after="120" w:line="240" w:lineRule="auto"/>
        <w:ind w:left="720"/>
        <w:jc w:val="both"/>
        <w:rPr>
          <w:sz w:val="22"/>
          <w:lang w:val="en-GB"/>
        </w:rPr>
      </w:pPr>
      <w:r w:rsidRPr="00771906">
        <w:rPr>
          <w:sz w:val="22"/>
          <w:lang w:val="en-GB"/>
        </w:rPr>
        <w:t xml:space="preserve">1.2. Do we understand correctly that the contract price is reviewed </w:t>
      </w:r>
      <w:r w:rsidR="00656000">
        <w:rPr>
          <w:sz w:val="22"/>
          <w:lang w:val="en-GB"/>
        </w:rPr>
        <w:t>annually</w:t>
      </w:r>
      <w:r w:rsidRPr="00771906">
        <w:rPr>
          <w:sz w:val="22"/>
          <w:lang w:val="en-GB"/>
        </w:rPr>
        <w:t xml:space="preserve"> through negotiations? If so, please indicate the basic principles </w:t>
      </w:r>
      <w:proofErr w:type="gramStart"/>
      <w:r w:rsidRPr="00771906">
        <w:rPr>
          <w:sz w:val="22"/>
          <w:lang w:val="en-GB"/>
        </w:rPr>
        <w:t>on the basis of</w:t>
      </w:r>
      <w:proofErr w:type="gramEnd"/>
      <w:r w:rsidRPr="00771906">
        <w:rPr>
          <w:sz w:val="22"/>
          <w:lang w:val="en-GB"/>
        </w:rPr>
        <w:t xml:space="preserve"> which the said price is updated, including for the period from 202</w:t>
      </w:r>
      <w:r w:rsidR="00507CA1">
        <w:rPr>
          <w:sz w:val="22"/>
          <w:lang w:val="en-GB"/>
        </w:rPr>
        <w:t>2</w:t>
      </w:r>
      <w:r w:rsidRPr="00771906">
        <w:rPr>
          <w:sz w:val="22"/>
          <w:lang w:val="en-GB"/>
        </w:rPr>
        <w:t xml:space="preserve"> to 2024.</w:t>
      </w:r>
    </w:p>
    <w:p w14:paraId="1FE45807" w14:textId="40D99C95" w:rsidR="00771906" w:rsidRPr="00771906" w:rsidRDefault="00771906" w:rsidP="00771906">
      <w:pPr>
        <w:spacing w:before="120" w:after="120" w:line="240" w:lineRule="auto"/>
        <w:jc w:val="both"/>
        <w:rPr>
          <w:sz w:val="22"/>
          <w:lang w:val="en-GB"/>
        </w:rPr>
      </w:pPr>
      <w:r w:rsidRPr="00771906">
        <w:rPr>
          <w:sz w:val="22"/>
          <w:lang w:val="en-GB"/>
        </w:rPr>
        <w:t xml:space="preserve">2. We have familiarized ourselves with the publicly available timber prices on the website of the </w:t>
      </w:r>
      <w:r w:rsidRPr="00E4358E">
        <w:rPr>
          <w:i/>
          <w:iCs/>
          <w:sz w:val="22"/>
          <w:lang w:val="en-GB"/>
        </w:rPr>
        <w:t>State Forest Management Centre</w:t>
      </w:r>
      <w:r w:rsidRPr="00771906">
        <w:rPr>
          <w:sz w:val="22"/>
          <w:lang w:val="en-GB"/>
        </w:rPr>
        <w:t xml:space="preserve"> (</w:t>
      </w:r>
      <w:r w:rsidR="00B778AC">
        <w:rPr>
          <w:sz w:val="22"/>
          <w:lang w:val="en-GB"/>
        </w:rPr>
        <w:t>a</w:t>
      </w:r>
      <w:r w:rsidRPr="00771906">
        <w:rPr>
          <w:sz w:val="22"/>
          <w:lang w:val="en-GB"/>
        </w:rPr>
        <w:t>verage roadside prices in state forest, EUR/m3 excluding VAT). We need more detailed data on spruce and pine sawlog prices for the audit.</w:t>
      </w:r>
    </w:p>
    <w:p w14:paraId="1611D099" w14:textId="4E1EC678" w:rsidR="00771906" w:rsidRPr="00771906" w:rsidRDefault="00771906" w:rsidP="00656000">
      <w:pPr>
        <w:spacing w:before="120" w:after="120" w:line="240" w:lineRule="auto"/>
        <w:ind w:left="720"/>
        <w:jc w:val="both"/>
        <w:rPr>
          <w:sz w:val="22"/>
          <w:lang w:val="en-GB"/>
        </w:rPr>
      </w:pPr>
      <w:r w:rsidRPr="00771906">
        <w:rPr>
          <w:sz w:val="22"/>
          <w:lang w:val="en-GB"/>
        </w:rPr>
        <w:t xml:space="preserve">Please provide information on the average prices of spruce and pine sawlogs applied in the </w:t>
      </w:r>
      <w:r w:rsidRPr="00E4358E">
        <w:rPr>
          <w:i/>
          <w:iCs/>
          <w:sz w:val="22"/>
          <w:lang w:val="en-GB"/>
        </w:rPr>
        <w:t>State Forest Management Centre's</w:t>
      </w:r>
      <w:r w:rsidRPr="00771906">
        <w:rPr>
          <w:sz w:val="22"/>
          <w:lang w:val="en-GB"/>
        </w:rPr>
        <w:t xml:space="preserve"> </w:t>
      </w:r>
      <w:r w:rsidRPr="00656000">
        <w:rPr>
          <w:b/>
          <w:bCs/>
          <w:sz w:val="22"/>
          <w:lang w:val="en-GB"/>
        </w:rPr>
        <w:t>long-term contracts</w:t>
      </w:r>
      <w:r w:rsidRPr="00771906">
        <w:rPr>
          <w:sz w:val="22"/>
          <w:lang w:val="en-GB"/>
        </w:rPr>
        <w:t xml:space="preserve"> for 202</w:t>
      </w:r>
      <w:r w:rsidR="00507CA1">
        <w:rPr>
          <w:sz w:val="22"/>
          <w:lang w:val="en-GB"/>
        </w:rPr>
        <w:t>1</w:t>
      </w:r>
      <w:r w:rsidRPr="00771906">
        <w:rPr>
          <w:sz w:val="22"/>
          <w:lang w:val="en-GB"/>
        </w:rPr>
        <w:t>–2024, broken down by quarter, for the following product/assortment groups:</w:t>
      </w:r>
    </w:p>
    <w:p w14:paraId="447C3F12" w14:textId="77777777" w:rsidR="00771906" w:rsidRPr="00771906" w:rsidRDefault="00771906" w:rsidP="00DF582E">
      <w:pPr>
        <w:spacing w:before="120" w:after="120" w:line="240" w:lineRule="auto"/>
        <w:ind w:firstLine="720"/>
        <w:jc w:val="both"/>
        <w:rPr>
          <w:sz w:val="22"/>
          <w:lang w:val="en-GB"/>
        </w:rPr>
      </w:pPr>
      <w:r w:rsidRPr="00771906">
        <w:rPr>
          <w:sz w:val="22"/>
          <w:lang w:val="en-GB"/>
        </w:rPr>
        <w:t>2.1. spruce sawlogs (18–28 cm in diameter</w:t>
      </w:r>
      <w:proofErr w:type="gramStart"/>
      <w:r w:rsidRPr="00771906">
        <w:rPr>
          <w:sz w:val="22"/>
          <w:lang w:val="en-GB"/>
        </w:rPr>
        <w:t>);</w:t>
      </w:r>
      <w:proofErr w:type="gramEnd"/>
    </w:p>
    <w:p w14:paraId="646FA91E" w14:textId="641459DA" w:rsidR="00656000" w:rsidRDefault="00771906" w:rsidP="00656000">
      <w:pPr>
        <w:spacing w:before="120" w:after="120" w:line="240" w:lineRule="auto"/>
        <w:ind w:firstLine="720"/>
        <w:jc w:val="both"/>
        <w:rPr>
          <w:sz w:val="22"/>
          <w:lang w:val="en-GB"/>
        </w:rPr>
      </w:pPr>
      <w:r w:rsidRPr="00771906">
        <w:rPr>
          <w:sz w:val="22"/>
          <w:lang w:val="en-GB"/>
        </w:rPr>
        <w:t>2.2. pine sawlogs (18</w:t>
      </w:r>
      <w:r w:rsidR="003E1167">
        <w:rPr>
          <w:sz w:val="22"/>
          <w:lang w:val="en-GB"/>
        </w:rPr>
        <w:t>–</w:t>
      </w:r>
      <w:r w:rsidRPr="00771906">
        <w:rPr>
          <w:sz w:val="22"/>
          <w:lang w:val="en-GB"/>
        </w:rPr>
        <w:t>28 cm in diameter</w:t>
      </w:r>
      <w:proofErr w:type="gramStart"/>
      <w:r w:rsidRPr="00771906">
        <w:rPr>
          <w:sz w:val="22"/>
          <w:lang w:val="en-GB"/>
        </w:rPr>
        <w:t>);</w:t>
      </w:r>
      <w:proofErr w:type="gramEnd"/>
    </w:p>
    <w:p w14:paraId="64CB0CFD" w14:textId="6D6F5DD5" w:rsidR="00771906" w:rsidRPr="00771906" w:rsidRDefault="00771906" w:rsidP="00656000">
      <w:pPr>
        <w:spacing w:before="120" w:after="120" w:line="240" w:lineRule="auto"/>
        <w:ind w:left="720"/>
        <w:jc w:val="both"/>
        <w:rPr>
          <w:sz w:val="22"/>
          <w:lang w:val="en-GB"/>
        </w:rPr>
      </w:pPr>
      <w:r w:rsidRPr="00771906">
        <w:rPr>
          <w:sz w:val="22"/>
          <w:lang w:val="en-GB"/>
        </w:rPr>
        <w:t xml:space="preserve">2.3. if spruce and pine sawlogs in the above-mentioned diameter are not offered, please provide information on the prices of spruce and pine sawlogs in the product/assortment groups offered by the </w:t>
      </w:r>
      <w:r w:rsidRPr="00E4358E">
        <w:rPr>
          <w:i/>
          <w:iCs/>
          <w:sz w:val="22"/>
          <w:lang w:val="en-GB"/>
        </w:rPr>
        <w:t>State Forest Management Centre</w:t>
      </w:r>
      <w:r w:rsidRPr="00771906">
        <w:rPr>
          <w:sz w:val="22"/>
          <w:lang w:val="en-GB"/>
        </w:rPr>
        <w:t>, e.g. 18+cm, etc.</w:t>
      </w:r>
    </w:p>
    <w:p w14:paraId="7897E94A" w14:textId="77777777" w:rsidR="00797FBA" w:rsidRDefault="00797FBA" w:rsidP="00970A5F">
      <w:pPr>
        <w:spacing w:before="120" w:after="120" w:line="240" w:lineRule="auto"/>
        <w:ind w:left="851"/>
        <w:jc w:val="both"/>
        <w:rPr>
          <w:i/>
          <w:iCs/>
          <w:color w:val="0070C0"/>
          <w:sz w:val="22"/>
          <w:lang w:val="en-GB"/>
        </w:rPr>
      </w:pPr>
    </w:p>
    <w:p w14:paraId="32EFF077" w14:textId="77777777" w:rsidR="00797FBA" w:rsidRDefault="00797FBA" w:rsidP="00970A5F">
      <w:pPr>
        <w:spacing w:before="120" w:after="120" w:line="240" w:lineRule="auto"/>
        <w:ind w:left="851"/>
        <w:jc w:val="both"/>
        <w:rPr>
          <w:i/>
          <w:iCs/>
          <w:color w:val="0070C0"/>
          <w:sz w:val="22"/>
          <w:lang w:val="en-GB"/>
        </w:rPr>
      </w:pPr>
    </w:p>
    <w:p w14:paraId="57729546" w14:textId="77777777" w:rsidR="003C1B1F" w:rsidRDefault="003C1B1F" w:rsidP="00970A5F">
      <w:pPr>
        <w:spacing w:before="120" w:after="120" w:line="240" w:lineRule="auto"/>
        <w:ind w:left="851"/>
        <w:jc w:val="both"/>
        <w:rPr>
          <w:i/>
          <w:iCs/>
          <w:color w:val="0070C0"/>
          <w:sz w:val="22"/>
          <w:lang w:val="en-GB"/>
        </w:rPr>
      </w:pPr>
    </w:p>
    <w:p w14:paraId="345E1740" w14:textId="77777777" w:rsidR="00797FBA" w:rsidRDefault="00797FBA" w:rsidP="00970A5F">
      <w:pPr>
        <w:spacing w:before="120" w:after="120" w:line="240" w:lineRule="auto"/>
        <w:ind w:left="851"/>
        <w:jc w:val="both"/>
        <w:rPr>
          <w:i/>
          <w:iCs/>
          <w:color w:val="0070C0"/>
          <w:sz w:val="22"/>
          <w:lang w:val="en-GB"/>
        </w:rPr>
      </w:pPr>
    </w:p>
    <w:p w14:paraId="00DECDD0" w14:textId="77777777" w:rsidR="00797FBA" w:rsidRDefault="00797FBA" w:rsidP="00970A5F">
      <w:pPr>
        <w:spacing w:before="120" w:after="120" w:line="240" w:lineRule="auto"/>
        <w:ind w:left="851"/>
        <w:jc w:val="both"/>
        <w:rPr>
          <w:i/>
          <w:iCs/>
          <w:color w:val="0070C0"/>
          <w:sz w:val="22"/>
          <w:lang w:val="en-GB"/>
        </w:rPr>
      </w:pPr>
    </w:p>
    <w:p w14:paraId="7E684E4A" w14:textId="77777777" w:rsidR="00B673B9" w:rsidRPr="00771906" w:rsidRDefault="00656000" w:rsidP="00B673B9">
      <w:pPr>
        <w:spacing w:before="120" w:after="120" w:line="240" w:lineRule="auto"/>
        <w:ind w:left="851"/>
        <w:jc w:val="both"/>
        <w:rPr>
          <w:i/>
          <w:iCs/>
          <w:color w:val="0070C0"/>
          <w:sz w:val="22"/>
          <w:lang w:val="en-GB"/>
        </w:rPr>
      </w:pPr>
      <w:r w:rsidRPr="00656000">
        <w:rPr>
          <w:i/>
          <w:iCs/>
          <w:color w:val="0070C0"/>
          <w:sz w:val="22"/>
          <w:lang w:val="en-GB"/>
        </w:rPr>
        <w:lastRenderedPageBreak/>
        <w:t>Please provide information on the prices of spruce and pine sawlogs in the table below.</w:t>
      </w:r>
    </w:p>
    <w:tbl>
      <w:tblPr>
        <w:tblStyle w:val="GridTable1Light-Accent1"/>
        <w:tblW w:w="9923" w:type="dxa"/>
        <w:tblInd w:w="-5" w:type="dxa"/>
        <w:tblLayout w:type="fixed"/>
        <w:tblCellMar>
          <w:left w:w="0" w:type="dxa"/>
          <w:right w:w="0" w:type="dxa"/>
        </w:tblCellMar>
        <w:tblLook w:val="04A0" w:firstRow="1" w:lastRow="0" w:firstColumn="1" w:lastColumn="0" w:noHBand="0" w:noVBand="1"/>
      </w:tblPr>
      <w:tblGrid>
        <w:gridCol w:w="869"/>
        <w:gridCol w:w="549"/>
        <w:gridCol w:w="567"/>
        <w:gridCol w:w="567"/>
        <w:gridCol w:w="567"/>
        <w:gridCol w:w="567"/>
        <w:gridCol w:w="567"/>
        <w:gridCol w:w="567"/>
        <w:gridCol w:w="567"/>
        <w:gridCol w:w="567"/>
        <w:gridCol w:w="567"/>
        <w:gridCol w:w="567"/>
        <w:gridCol w:w="567"/>
        <w:gridCol w:w="567"/>
        <w:gridCol w:w="567"/>
        <w:gridCol w:w="567"/>
        <w:gridCol w:w="567"/>
      </w:tblGrid>
      <w:tr w:rsidR="00B673B9" w:rsidRPr="00771906" w14:paraId="1645FF5B" w14:textId="77777777" w:rsidTr="000E3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dxa"/>
            <w:vMerge w:val="restart"/>
            <w:shd w:val="clear" w:color="auto" w:fill="DBE5F1" w:themeFill="accent1" w:themeFillTint="33"/>
            <w:vAlign w:val="center"/>
          </w:tcPr>
          <w:p w14:paraId="0290582F" w14:textId="77777777" w:rsidR="00B673B9" w:rsidRPr="00771906" w:rsidRDefault="00B673B9" w:rsidP="000E3341">
            <w:pPr>
              <w:spacing w:after="120"/>
              <w:jc w:val="center"/>
              <w:rPr>
                <w:color w:val="0070C0"/>
                <w:sz w:val="18"/>
                <w:szCs w:val="18"/>
                <w:lang w:val="en-GB"/>
              </w:rPr>
            </w:pPr>
            <w:r w:rsidRPr="00771906">
              <w:rPr>
                <w:color w:val="0070C0"/>
                <w:sz w:val="18"/>
                <w:szCs w:val="18"/>
                <w:lang w:val="en-GB"/>
              </w:rPr>
              <w:t>Produ</w:t>
            </w:r>
            <w:r>
              <w:rPr>
                <w:color w:val="0070C0"/>
                <w:sz w:val="18"/>
                <w:szCs w:val="18"/>
                <w:lang w:val="en-GB"/>
              </w:rPr>
              <w:t>ct</w:t>
            </w:r>
            <w:r w:rsidRPr="00771906">
              <w:rPr>
                <w:color w:val="0070C0"/>
                <w:sz w:val="18"/>
                <w:szCs w:val="18"/>
                <w:lang w:val="en-GB"/>
              </w:rPr>
              <w:t>/</w:t>
            </w:r>
            <w:r>
              <w:rPr>
                <w:color w:val="0070C0"/>
                <w:sz w:val="18"/>
                <w:szCs w:val="18"/>
                <w:lang w:val="en-GB"/>
              </w:rPr>
              <w:t xml:space="preserve"> Type</w:t>
            </w:r>
            <w:r w:rsidRPr="00771906">
              <w:rPr>
                <w:color w:val="0070C0"/>
                <w:sz w:val="18"/>
                <w:szCs w:val="18"/>
                <w:vertAlign w:val="superscript"/>
                <w:lang w:val="en-GB"/>
              </w:rPr>
              <w:t>*</w:t>
            </w:r>
          </w:p>
        </w:tc>
        <w:tc>
          <w:tcPr>
            <w:tcW w:w="2250" w:type="dxa"/>
            <w:gridSpan w:val="4"/>
            <w:shd w:val="clear" w:color="auto" w:fill="DBE5F1" w:themeFill="accent1" w:themeFillTint="33"/>
            <w:vAlign w:val="center"/>
          </w:tcPr>
          <w:p w14:paraId="7693BABE" w14:textId="77777777" w:rsidR="00B673B9" w:rsidRPr="00507CA1" w:rsidRDefault="00B673B9" w:rsidP="000E3341">
            <w:pPr>
              <w:jc w:val="center"/>
              <w:cnfStyle w:val="100000000000" w:firstRow="1" w:lastRow="0" w:firstColumn="0" w:lastColumn="0" w:oddVBand="0" w:evenVBand="0" w:oddHBand="0" w:evenHBand="0" w:firstRowFirstColumn="0" w:firstRowLastColumn="0" w:lastRowFirstColumn="0" w:lastRowLastColumn="0"/>
              <w:rPr>
                <w:b w:val="0"/>
                <w:bCs w:val="0"/>
                <w:color w:val="0070C0"/>
                <w:sz w:val="18"/>
                <w:szCs w:val="18"/>
                <w:lang w:val="en-GB"/>
              </w:rPr>
            </w:pPr>
            <w:r w:rsidRPr="00507CA1">
              <w:rPr>
                <w:color w:val="0070C0"/>
                <w:sz w:val="18"/>
                <w:szCs w:val="18"/>
                <w:lang w:val="en-GB"/>
              </w:rPr>
              <w:t>2021</w:t>
            </w:r>
          </w:p>
          <w:p w14:paraId="1C7009A8" w14:textId="77777777" w:rsidR="00B673B9" w:rsidRPr="00507CA1" w:rsidRDefault="00B673B9" w:rsidP="000E3341">
            <w:pPr>
              <w:jc w:val="center"/>
              <w:cnfStyle w:val="100000000000" w:firstRow="1" w:lastRow="0" w:firstColumn="0" w:lastColumn="0" w:oddVBand="0" w:evenVBand="0" w:oddHBand="0" w:evenHBand="0" w:firstRowFirstColumn="0" w:firstRowLastColumn="0" w:lastRowFirstColumn="0" w:lastRowLastColumn="0"/>
              <w:rPr>
                <w:color w:val="0070C0"/>
                <w:sz w:val="18"/>
                <w:szCs w:val="18"/>
                <w:lang w:val="en-GB"/>
              </w:rPr>
            </w:pPr>
            <w:r w:rsidRPr="00507CA1">
              <w:rPr>
                <w:color w:val="0070C0"/>
                <w:sz w:val="18"/>
                <w:szCs w:val="18"/>
                <w:lang w:val="en-GB"/>
              </w:rPr>
              <w:t xml:space="preserve"> (average price/EUR/m</w:t>
            </w:r>
            <w:r w:rsidRPr="00507CA1">
              <w:rPr>
                <w:color w:val="0070C0"/>
                <w:sz w:val="18"/>
                <w:szCs w:val="18"/>
                <w:vertAlign w:val="superscript"/>
                <w:lang w:val="en-GB"/>
              </w:rPr>
              <w:t>3</w:t>
            </w:r>
            <w:r w:rsidRPr="00507CA1">
              <w:rPr>
                <w:color w:val="0070C0"/>
                <w:sz w:val="18"/>
                <w:szCs w:val="18"/>
                <w:lang w:val="en-GB"/>
              </w:rPr>
              <w:t>)</w:t>
            </w:r>
          </w:p>
        </w:tc>
        <w:tc>
          <w:tcPr>
            <w:tcW w:w="2268" w:type="dxa"/>
            <w:gridSpan w:val="4"/>
            <w:shd w:val="clear" w:color="auto" w:fill="DBE5F1" w:themeFill="accent1" w:themeFillTint="33"/>
            <w:vAlign w:val="center"/>
          </w:tcPr>
          <w:p w14:paraId="112F3B8A" w14:textId="77777777" w:rsidR="00B673B9" w:rsidRPr="00771906" w:rsidRDefault="00B673B9" w:rsidP="000E3341">
            <w:pPr>
              <w:jc w:val="center"/>
              <w:cnfStyle w:val="100000000000" w:firstRow="1" w:lastRow="0" w:firstColumn="0" w:lastColumn="0" w:oddVBand="0" w:evenVBand="0" w:oddHBand="0" w:evenHBand="0" w:firstRowFirstColumn="0" w:firstRowLastColumn="0" w:lastRowFirstColumn="0" w:lastRowLastColumn="0"/>
              <w:rPr>
                <w:b w:val="0"/>
                <w:bCs w:val="0"/>
                <w:color w:val="0070C0"/>
                <w:sz w:val="18"/>
                <w:szCs w:val="18"/>
                <w:lang w:val="en-GB"/>
              </w:rPr>
            </w:pPr>
            <w:r w:rsidRPr="00771906">
              <w:rPr>
                <w:color w:val="0070C0"/>
                <w:sz w:val="18"/>
                <w:szCs w:val="18"/>
                <w:lang w:val="en-GB"/>
              </w:rPr>
              <w:t xml:space="preserve">2022 </w:t>
            </w:r>
          </w:p>
          <w:p w14:paraId="5C0BD7E0" w14:textId="77777777" w:rsidR="00B673B9" w:rsidRPr="00771906" w:rsidRDefault="00B673B9" w:rsidP="000E3341">
            <w:pPr>
              <w:jc w:val="center"/>
              <w:cnfStyle w:val="100000000000" w:firstRow="1" w:lastRow="0" w:firstColumn="0" w:lastColumn="0" w:oddVBand="0" w:evenVBand="0" w:oddHBand="0" w:evenHBand="0" w:firstRowFirstColumn="0" w:firstRowLastColumn="0" w:lastRowFirstColumn="0" w:lastRowLastColumn="0"/>
              <w:rPr>
                <w:b w:val="0"/>
                <w:bCs w:val="0"/>
                <w:color w:val="0070C0"/>
                <w:sz w:val="18"/>
                <w:szCs w:val="18"/>
                <w:lang w:val="en-GB"/>
              </w:rPr>
            </w:pPr>
            <w:r w:rsidRPr="00771906">
              <w:rPr>
                <w:color w:val="0070C0"/>
                <w:sz w:val="18"/>
                <w:szCs w:val="18"/>
                <w:lang w:val="en-GB"/>
              </w:rPr>
              <w:t xml:space="preserve"> (</w:t>
            </w:r>
            <w:r>
              <w:rPr>
                <w:color w:val="0070C0"/>
                <w:sz w:val="18"/>
                <w:szCs w:val="18"/>
                <w:lang w:val="en-GB"/>
              </w:rPr>
              <w:t>average price</w:t>
            </w:r>
            <w:r w:rsidRPr="00771906">
              <w:rPr>
                <w:color w:val="0070C0"/>
                <w:sz w:val="18"/>
                <w:szCs w:val="18"/>
                <w:lang w:val="en-GB"/>
              </w:rPr>
              <w:t>/EUR/m</w:t>
            </w:r>
            <w:r w:rsidRPr="00771906">
              <w:rPr>
                <w:color w:val="0070C0"/>
                <w:sz w:val="18"/>
                <w:szCs w:val="18"/>
                <w:vertAlign w:val="superscript"/>
                <w:lang w:val="en-GB"/>
              </w:rPr>
              <w:t>3</w:t>
            </w:r>
            <w:r w:rsidRPr="00771906">
              <w:rPr>
                <w:color w:val="0070C0"/>
                <w:sz w:val="18"/>
                <w:szCs w:val="18"/>
                <w:lang w:val="en-GB"/>
              </w:rPr>
              <w:t>)</w:t>
            </w:r>
          </w:p>
        </w:tc>
        <w:tc>
          <w:tcPr>
            <w:tcW w:w="2268" w:type="dxa"/>
            <w:gridSpan w:val="4"/>
            <w:shd w:val="clear" w:color="auto" w:fill="DBE5F1" w:themeFill="accent1" w:themeFillTint="33"/>
            <w:vAlign w:val="center"/>
          </w:tcPr>
          <w:p w14:paraId="4D6595CC" w14:textId="77777777" w:rsidR="00B673B9" w:rsidRPr="00771906" w:rsidRDefault="00B673B9" w:rsidP="000E3341">
            <w:pPr>
              <w:jc w:val="center"/>
              <w:cnfStyle w:val="100000000000" w:firstRow="1" w:lastRow="0" w:firstColumn="0" w:lastColumn="0" w:oddVBand="0" w:evenVBand="0" w:oddHBand="0" w:evenHBand="0" w:firstRowFirstColumn="0" w:firstRowLastColumn="0" w:lastRowFirstColumn="0" w:lastRowLastColumn="0"/>
              <w:rPr>
                <w:b w:val="0"/>
                <w:bCs w:val="0"/>
                <w:color w:val="0070C0"/>
                <w:sz w:val="18"/>
                <w:szCs w:val="18"/>
                <w:lang w:val="en-GB"/>
              </w:rPr>
            </w:pPr>
            <w:r w:rsidRPr="00771906">
              <w:rPr>
                <w:color w:val="0070C0"/>
                <w:sz w:val="18"/>
                <w:szCs w:val="18"/>
                <w:lang w:val="en-GB"/>
              </w:rPr>
              <w:t>2023</w:t>
            </w:r>
          </w:p>
          <w:p w14:paraId="4D30A2C1" w14:textId="77777777" w:rsidR="00B673B9" w:rsidRPr="00771906" w:rsidRDefault="00B673B9" w:rsidP="000E3341">
            <w:pPr>
              <w:jc w:val="center"/>
              <w:cnfStyle w:val="100000000000" w:firstRow="1" w:lastRow="0" w:firstColumn="0" w:lastColumn="0" w:oddVBand="0" w:evenVBand="0" w:oddHBand="0" w:evenHBand="0" w:firstRowFirstColumn="0" w:firstRowLastColumn="0" w:lastRowFirstColumn="0" w:lastRowLastColumn="0"/>
              <w:rPr>
                <w:color w:val="0070C0"/>
                <w:sz w:val="18"/>
                <w:szCs w:val="18"/>
                <w:lang w:val="en-GB"/>
              </w:rPr>
            </w:pPr>
            <w:r w:rsidRPr="00771906">
              <w:rPr>
                <w:color w:val="0070C0"/>
                <w:sz w:val="18"/>
                <w:szCs w:val="18"/>
                <w:lang w:val="en-GB"/>
              </w:rPr>
              <w:t>(</w:t>
            </w:r>
            <w:r>
              <w:rPr>
                <w:color w:val="0070C0"/>
                <w:sz w:val="18"/>
                <w:szCs w:val="18"/>
                <w:lang w:val="en-GB"/>
              </w:rPr>
              <w:t>average price</w:t>
            </w:r>
            <w:r w:rsidRPr="00771906">
              <w:rPr>
                <w:color w:val="0070C0"/>
                <w:sz w:val="18"/>
                <w:szCs w:val="18"/>
                <w:lang w:val="en-GB"/>
              </w:rPr>
              <w:t>/EUR/m</w:t>
            </w:r>
            <w:r w:rsidRPr="00771906">
              <w:rPr>
                <w:color w:val="0070C0"/>
                <w:sz w:val="18"/>
                <w:szCs w:val="18"/>
                <w:vertAlign w:val="superscript"/>
                <w:lang w:val="en-GB"/>
              </w:rPr>
              <w:t>3</w:t>
            </w:r>
            <w:r w:rsidRPr="00771906">
              <w:rPr>
                <w:color w:val="0070C0"/>
                <w:sz w:val="18"/>
                <w:szCs w:val="18"/>
                <w:lang w:val="en-GB"/>
              </w:rPr>
              <w:t>)</w:t>
            </w:r>
          </w:p>
        </w:tc>
        <w:tc>
          <w:tcPr>
            <w:tcW w:w="2268" w:type="dxa"/>
            <w:gridSpan w:val="4"/>
            <w:shd w:val="clear" w:color="auto" w:fill="DBE5F1" w:themeFill="accent1" w:themeFillTint="33"/>
            <w:vAlign w:val="center"/>
          </w:tcPr>
          <w:p w14:paraId="5DE09250" w14:textId="77777777" w:rsidR="00B673B9" w:rsidRPr="00771906" w:rsidRDefault="00B673B9" w:rsidP="000E3341">
            <w:pPr>
              <w:jc w:val="center"/>
              <w:cnfStyle w:val="100000000000" w:firstRow="1" w:lastRow="0" w:firstColumn="0" w:lastColumn="0" w:oddVBand="0" w:evenVBand="0" w:oddHBand="0" w:evenHBand="0" w:firstRowFirstColumn="0" w:firstRowLastColumn="0" w:lastRowFirstColumn="0" w:lastRowLastColumn="0"/>
              <w:rPr>
                <w:b w:val="0"/>
                <w:bCs w:val="0"/>
                <w:color w:val="0070C0"/>
                <w:sz w:val="18"/>
                <w:szCs w:val="18"/>
                <w:lang w:val="en-GB"/>
              </w:rPr>
            </w:pPr>
            <w:r w:rsidRPr="00771906">
              <w:rPr>
                <w:color w:val="0070C0"/>
                <w:sz w:val="18"/>
                <w:szCs w:val="18"/>
                <w:lang w:val="en-GB"/>
              </w:rPr>
              <w:t>2024</w:t>
            </w:r>
          </w:p>
          <w:p w14:paraId="0B59FCDA" w14:textId="77777777" w:rsidR="00B673B9" w:rsidRPr="00771906" w:rsidRDefault="00B673B9" w:rsidP="000E3341">
            <w:pPr>
              <w:jc w:val="center"/>
              <w:cnfStyle w:val="100000000000" w:firstRow="1" w:lastRow="0" w:firstColumn="0" w:lastColumn="0" w:oddVBand="0" w:evenVBand="0" w:oddHBand="0" w:evenHBand="0" w:firstRowFirstColumn="0" w:firstRowLastColumn="0" w:lastRowFirstColumn="0" w:lastRowLastColumn="0"/>
              <w:rPr>
                <w:color w:val="0070C0"/>
                <w:sz w:val="18"/>
                <w:szCs w:val="18"/>
                <w:lang w:val="en-GB"/>
              </w:rPr>
            </w:pPr>
            <w:r w:rsidRPr="00771906">
              <w:rPr>
                <w:color w:val="0070C0"/>
                <w:sz w:val="18"/>
                <w:szCs w:val="18"/>
                <w:lang w:val="en-GB"/>
              </w:rPr>
              <w:t>(</w:t>
            </w:r>
            <w:r>
              <w:rPr>
                <w:color w:val="0070C0"/>
                <w:sz w:val="18"/>
                <w:szCs w:val="18"/>
                <w:lang w:val="en-GB"/>
              </w:rPr>
              <w:t>average price</w:t>
            </w:r>
            <w:r w:rsidRPr="00771906">
              <w:rPr>
                <w:color w:val="0070C0"/>
                <w:sz w:val="18"/>
                <w:szCs w:val="18"/>
                <w:lang w:val="en-GB"/>
              </w:rPr>
              <w:t>/EUR/m</w:t>
            </w:r>
            <w:r w:rsidRPr="00771906">
              <w:rPr>
                <w:color w:val="0070C0"/>
                <w:sz w:val="18"/>
                <w:szCs w:val="18"/>
                <w:vertAlign w:val="superscript"/>
                <w:lang w:val="en-GB"/>
              </w:rPr>
              <w:t>3</w:t>
            </w:r>
            <w:r w:rsidRPr="00771906">
              <w:rPr>
                <w:color w:val="0070C0"/>
                <w:sz w:val="18"/>
                <w:szCs w:val="18"/>
                <w:lang w:val="en-GB"/>
              </w:rPr>
              <w:t>)</w:t>
            </w:r>
          </w:p>
        </w:tc>
      </w:tr>
      <w:tr w:rsidR="00B673B9" w:rsidRPr="00771906" w14:paraId="531106D6" w14:textId="77777777" w:rsidTr="000E3341">
        <w:tc>
          <w:tcPr>
            <w:cnfStyle w:val="001000000000" w:firstRow="0" w:lastRow="0" w:firstColumn="1" w:lastColumn="0" w:oddVBand="0" w:evenVBand="0" w:oddHBand="0" w:evenHBand="0" w:firstRowFirstColumn="0" w:firstRowLastColumn="0" w:lastRowFirstColumn="0" w:lastRowLastColumn="0"/>
            <w:tcW w:w="869" w:type="dxa"/>
            <w:vMerge/>
            <w:shd w:val="clear" w:color="auto" w:fill="DBE5F1" w:themeFill="accent1" w:themeFillTint="33"/>
            <w:vAlign w:val="center"/>
          </w:tcPr>
          <w:p w14:paraId="1661F677" w14:textId="77777777" w:rsidR="00B673B9" w:rsidRPr="00771906" w:rsidRDefault="00B673B9" w:rsidP="000E3341">
            <w:pPr>
              <w:spacing w:after="120"/>
              <w:jc w:val="center"/>
              <w:rPr>
                <w:color w:val="0070C0"/>
                <w:sz w:val="18"/>
                <w:szCs w:val="18"/>
                <w:lang w:val="en-GB"/>
              </w:rPr>
            </w:pPr>
          </w:p>
        </w:tc>
        <w:tc>
          <w:tcPr>
            <w:tcW w:w="549" w:type="dxa"/>
            <w:shd w:val="clear" w:color="auto" w:fill="DBE5F1" w:themeFill="accent1" w:themeFillTint="33"/>
            <w:vAlign w:val="center"/>
          </w:tcPr>
          <w:p w14:paraId="4738F3BE" w14:textId="77777777" w:rsidR="00B673B9" w:rsidRPr="00507CA1" w:rsidRDefault="00B673B9" w:rsidP="000E3341">
            <w:pPr>
              <w:spacing w:before="120" w:after="120"/>
              <w:jc w:val="center"/>
              <w:cnfStyle w:val="000000000000" w:firstRow="0" w:lastRow="0" w:firstColumn="0" w:lastColumn="0" w:oddVBand="0" w:evenVBand="0" w:oddHBand="0" w:evenHBand="0" w:firstRowFirstColumn="0" w:firstRowLastColumn="0" w:lastRowFirstColumn="0" w:lastRowLastColumn="0"/>
              <w:rPr>
                <w:color w:val="0070C0"/>
                <w:sz w:val="16"/>
                <w:szCs w:val="16"/>
                <w:lang w:val="en-GB"/>
              </w:rPr>
            </w:pPr>
            <w:r w:rsidRPr="00507CA1">
              <w:rPr>
                <w:color w:val="0070C0"/>
                <w:sz w:val="12"/>
                <w:szCs w:val="12"/>
                <w:lang w:val="en-GB"/>
              </w:rPr>
              <w:t>1</w:t>
            </w:r>
            <w:r w:rsidRPr="00507CA1">
              <w:rPr>
                <w:color w:val="0070C0"/>
                <w:sz w:val="12"/>
                <w:szCs w:val="12"/>
                <w:vertAlign w:val="superscript"/>
                <w:lang w:val="en-GB"/>
              </w:rPr>
              <w:t>st</w:t>
            </w:r>
            <w:r w:rsidRPr="00507CA1">
              <w:rPr>
                <w:color w:val="0070C0"/>
                <w:sz w:val="12"/>
                <w:szCs w:val="12"/>
                <w:lang w:val="en-GB"/>
              </w:rPr>
              <w:t xml:space="preserve"> quarter</w:t>
            </w:r>
          </w:p>
        </w:tc>
        <w:tc>
          <w:tcPr>
            <w:tcW w:w="567" w:type="dxa"/>
            <w:shd w:val="clear" w:color="auto" w:fill="DBE5F1" w:themeFill="accent1" w:themeFillTint="33"/>
            <w:vAlign w:val="center"/>
          </w:tcPr>
          <w:p w14:paraId="6EEBA8EC" w14:textId="77777777" w:rsidR="00B673B9" w:rsidRPr="00507CA1" w:rsidRDefault="00B673B9" w:rsidP="000E3341">
            <w:pPr>
              <w:spacing w:before="120" w:after="120"/>
              <w:jc w:val="center"/>
              <w:cnfStyle w:val="000000000000" w:firstRow="0" w:lastRow="0" w:firstColumn="0" w:lastColumn="0" w:oddVBand="0" w:evenVBand="0" w:oddHBand="0" w:evenHBand="0" w:firstRowFirstColumn="0" w:firstRowLastColumn="0" w:lastRowFirstColumn="0" w:lastRowLastColumn="0"/>
              <w:rPr>
                <w:color w:val="0070C0"/>
                <w:sz w:val="16"/>
                <w:szCs w:val="16"/>
                <w:lang w:val="en-GB"/>
              </w:rPr>
            </w:pPr>
            <w:r w:rsidRPr="00507CA1">
              <w:rPr>
                <w:color w:val="0070C0"/>
                <w:sz w:val="12"/>
                <w:szCs w:val="12"/>
                <w:lang w:val="en-GB"/>
              </w:rPr>
              <w:t>2</w:t>
            </w:r>
            <w:r w:rsidRPr="00507CA1">
              <w:rPr>
                <w:color w:val="0070C0"/>
                <w:sz w:val="12"/>
                <w:szCs w:val="12"/>
                <w:vertAlign w:val="superscript"/>
                <w:lang w:val="en-GB"/>
              </w:rPr>
              <w:t>nd</w:t>
            </w:r>
            <w:r w:rsidRPr="00507CA1">
              <w:rPr>
                <w:color w:val="0070C0"/>
                <w:sz w:val="12"/>
                <w:szCs w:val="12"/>
                <w:lang w:val="en-GB"/>
              </w:rPr>
              <w:t xml:space="preserve"> quarter</w:t>
            </w:r>
          </w:p>
        </w:tc>
        <w:tc>
          <w:tcPr>
            <w:tcW w:w="567" w:type="dxa"/>
            <w:shd w:val="clear" w:color="auto" w:fill="DBE5F1" w:themeFill="accent1" w:themeFillTint="33"/>
            <w:vAlign w:val="center"/>
          </w:tcPr>
          <w:p w14:paraId="61BC4AF6" w14:textId="77777777" w:rsidR="00B673B9" w:rsidRPr="00507CA1" w:rsidRDefault="00B673B9" w:rsidP="000E3341">
            <w:pPr>
              <w:spacing w:before="120" w:after="120"/>
              <w:jc w:val="center"/>
              <w:cnfStyle w:val="000000000000" w:firstRow="0" w:lastRow="0" w:firstColumn="0" w:lastColumn="0" w:oddVBand="0" w:evenVBand="0" w:oddHBand="0" w:evenHBand="0" w:firstRowFirstColumn="0" w:firstRowLastColumn="0" w:lastRowFirstColumn="0" w:lastRowLastColumn="0"/>
              <w:rPr>
                <w:color w:val="0070C0"/>
                <w:sz w:val="16"/>
                <w:szCs w:val="16"/>
                <w:lang w:val="en-GB"/>
              </w:rPr>
            </w:pPr>
            <w:r w:rsidRPr="00507CA1">
              <w:rPr>
                <w:color w:val="0070C0"/>
                <w:sz w:val="12"/>
                <w:szCs w:val="12"/>
                <w:lang w:val="en-GB"/>
              </w:rPr>
              <w:t>3</w:t>
            </w:r>
            <w:r w:rsidRPr="00507CA1">
              <w:rPr>
                <w:color w:val="0070C0"/>
                <w:sz w:val="12"/>
                <w:szCs w:val="12"/>
                <w:vertAlign w:val="superscript"/>
                <w:lang w:val="en-GB"/>
              </w:rPr>
              <w:t>rd</w:t>
            </w:r>
            <w:r w:rsidRPr="00507CA1">
              <w:rPr>
                <w:color w:val="0070C0"/>
                <w:sz w:val="12"/>
                <w:szCs w:val="12"/>
                <w:lang w:val="en-GB"/>
              </w:rPr>
              <w:t xml:space="preserve"> quarter</w:t>
            </w:r>
          </w:p>
        </w:tc>
        <w:tc>
          <w:tcPr>
            <w:tcW w:w="567" w:type="dxa"/>
            <w:shd w:val="clear" w:color="auto" w:fill="DBE5F1" w:themeFill="accent1" w:themeFillTint="33"/>
            <w:vAlign w:val="center"/>
          </w:tcPr>
          <w:p w14:paraId="0F94A87F" w14:textId="77777777" w:rsidR="00B673B9" w:rsidRPr="00507CA1" w:rsidRDefault="00B673B9" w:rsidP="000E3341">
            <w:pPr>
              <w:spacing w:before="120" w:after="120"/>
              <w:jc w:val="center"/>
              <w:cnfStyle w:val="000000000000" w:firstRow="0" w:lastRow="0" w:firstColumn="0" w:lastColumn="0" w:oddVBand="0" w:evenVBand="0" w:oddHBand="0" w:evenHBand="0" w:firstRowFirstColumn="0" w:firstRowLastColumn="0" w:lastRowFirstColumn="0" w:lastRowLastColumn="0"/>
              <w:rPr>
                <w:color w:val="0070C0"/>
                <w:sz w:val="16"/>
                <w:szCs w:val="16"/>
                <w:lang w:val="en-GB"/>
              </w:rPr>
            </w:pPr>
            <w:r w:rsidRPr="00507CA1">
              <w:rPr>
                <w:color w:val="0070C0"/>
                <w:sz w:val="12"/>
                <w:szCs w:val="12"/>
                <w:lang w:val="en-GB"/>
              </w:rPr>
              <w:t>4</w:t>
            </w:r>
            <w:r w:rsidRPr="00507CA1">
              <w:rPr>
                <w:color w:val="0070C0"/>
                <w:sz w:val="12"/>
                <w:szCs w:val="12"/>
                <w:vertAlign w:val="superscript"/>
                <w:lang w:val="en-GB"/>
              </w:rPr>
              <w:t>th</w:t>
            </w:r>
            <w:r w:rsidRPr="00507CA1">
              <w:rPr>
                <w:color w:val="0070C0"/>
                <w:sz w:val="12"/>
                <w:szCs w:val="12"/>
                <w:lang w:val="en-GB"/>
              </w:rPr>
              <w:t xml:space="preserve"> quarter</w:t>
            </w:r>
          </w:p>
        </w:tc>
        <w:tc>
          <w:tcPr>
            <w:tcW w:w="567" w:type="dxa"/>
            <w:shd w:val="clear" w:color="auto" w:fill="DBE5F1" w:themeFill="accent1" w:themeFillTint="33"/>
            <w:vAlign w:val="center"/>
          </w:tcPr>
          <w:p w14:paraId="5510BD8B" w14:textId="77777777" w:rsidR="00B673B9" w:rsidRPr="00656000" w:rsidRDefault="00B673B9" w:rsidP="000E3341">
            <w:pPr>
              <w:spacing w:before="120" w:after="120"/>
              <w:jc w:val="center"/>
              <w:cnfStyle w:val="000000000000" w:firstRow="0" w:lastRow="0" w:firstColumn="0" w:lastColumn="0" w:oddVBand="0" w:evenVBand="0" w:oddHBand="0" w:evenHBand="0" w:firstRowFirstColumn="0" w:firstRowLastColumn="0" w:lastRowFirstColumn="0" w:lastRowLastColumn="0"/>
              <w:rPr>
                <w:color w:val="0070C0"/>
                <w:sz w:val="16"/>
                <w:szCs w:val="16"/>
                <w:lang w:val="en-GB"/>
              </w:rPr>
            </w:pPr>
            <w:r w:rsidRPr="00F1650E">
              <w:rPr>
                <w:color w:val="0070C0"/>
                <w:sz w:val="12"/>
                <w:szCs w:val="12"/>
                <w:lang w:val="en-GB"/>
              </w:rPr>
              <w:t>1</w:t>
            </w:r>
            <w:r w:rsidRPr="00F1650E">
              <w:rPr>
                <w:color w:val="0070C0"/>
                <w:sz w:val="12"/>
                <w:szCs w:val="12"/>
                <w:vertAlign w:val="superscript"/>
                <w:lang w:val="en-GB"/>
              </w:rPr>
              <w:t>st</w:t>
            </w:r>
            <w:r w:rsidRPr="00F1650E">
              <w:rPr>
                <w:color w:val="0070C0"/>
                <w:sz w:val="12"/>
                <w:szCs w:val="12"/>
                <w:lang w:val="en-GB"/>
              </w:rPr>
              <w:t xml:space="preserve"> quarter</w:t>
            </w:r>
          </w:p>
        </w:tc>
        <w:tc>
          <w:tcPr>
            <w:tcW w:w="567" w:type="dxa"/>
            <w:shd w:val="clear" w:color="auto" w:fill="DBE5F1" w:themeFill="accent1" w:themeFillTint="33"/>
            <w:vAlign w:val="center"/>
          </w:tcPr>
          <w:p w14:paraId="7E445A2E" w14:textId="77777777" w:rsidR="00B673B9" w:rsidRPr="00656000" w:rsidRDefault="00B673B9" w:rsidP="000E3341">
            <w:pPr>
              <w:spacing w:before="120" w:after="120"/>
              <w:jc w:val="center"/>
              <w:cnfStyle w:val="000000000000" w:firstRow="0" w:lastRow="0" w:firstColumn="0" w:lastColumn="0" w:oddVBand="0" w:evenVBand="0" w:oddHBand="0" w:evenHBand="0" w:firstRowFirstColumn="0" w:firstRowLastColumn="0" w:lastRowFirstColumn="0" w:lastRowLastColumn="0"/>
              <w:rPr>
                <w:color w:val="0070C0"/>
                <w:sz w:val="16"/>
                <w:szCs w:val="16"/>
                <w:lang w:val="en-GB"/>
              </w:rPr>
            </w:pPr>
            <w:r w:rsidRPr="00F1650E">
              <w:rPr>
                <w:color w:val="0070C0"/>
                <w:sz w:val="12"/>
                <w:szCs w:val="12"/>
                <w:lang w:val="en-GB"/>
              </w:rPr>
              <w:t>2</w:t>
            </w:r>
            <w:r w:rsidRPr="00F1650E">
              <w:rPr>
                <w:color w:val="0070C0"/>
                <w:sz w:val="12"/>
                <w:szCs w:val="12"/>
                <w:vertAlign w:val="superscript"/>
                <w:lang w:val="en-GB"/>
              </w:rPr>
              <w:t>nd</w:t>
            </w:r>
            <w:r w:rsidRPr="00F1650E">
              <w:rPr>
                <w:color w:val="0070C0"/>
                <w:sz w:val="12"/>
                <w:szCs w:val="12"/>
                <w:lang w:val="en-GB"/>
              </w:rPr>
              <w:t xml:space="preserve"> quarter</w:t>
            </w:r>
          </w:p>
        </w:tc>
        <w:tc>
          <w:tcPr>
            <w:tcW w:w="567" w:type="dxa"/>
            <w:shd w:val="clear" w:color="auto" w:fill="DBE5F1" w:themeFill="accent1" w:themeFillTint="33"/>
            <w:vAlign w:val="center"/>
          </w:tcPr>
          <w:p w14:paraId="1F448B01" w14:textId="77777777" w:rsidR="00B673B9" w:rsidRPr="00656000" w:rsidRDefault="00B673B9" w:rsidP="000E3341">
            <w:pPr>
              <w:spacing w:before="120" w:after="120"/>
              <w:jc w:val="center"/>
              <w:cnfStyle w:val="000000000000" w:firstRow="0" w:lastRow="0" w:firstColumn="0" w:lastColumn="0" w:oddVBand="0" w:evenVBand="0" w:oddHBand="0" w:evenHBand="0" w:firstRowFirstColumn="0" w:firstRowLastColumn="0" w:lastRowFirstColumn="0" w:lastRowLastColumn="0"/>
              <w:rPr>
                <w:color w:val="0070C0"/>
                <w:sz w:val="16"/>
                <w:szCs w:val="16"/>
                <w:lang w:val="en-GB"/>
              </w:rPr>
            </w:pPr>
            <w:r w:rsidRPr="00F1650E">
              <w:rPr>
                <w:color w:val="0070C0"/>
                <w:sz w:val="12"/>
                <w:szCs w:val="12"/>
                <w:lang w:val="en-GB"/>
              </w:rPr>
              <w:t>3</w:t>
            </w:r>
            <w:r w:rsidRPr="00F1650E">
              <w:rPr>
                <w:color w:val="0070C0"/>
                <w:sz w:val="12"/>
                <w:szCs w:val="12"/>
                <w:vertAlign w:val="superscript"/>
                <w:lang w:val="en-GB"/>
              </w:rPr>
              <w:t>rd</w:t>
            </w:r>
            <w:r w:rsidRPr="00F1650E">
              <w:rPr>
                <w:color w:val="0070C0"/>
                <w:sz w:val="12"/>
                <w:szCs w:val="12"/>
                <w:lang w:val="en-GB"/>
              </w:rPr>
              <w:t xml:space="preserve"> quarter</w:t>
            </w:r>
          </w:p>
        </w:tc>
        <w:tc>
          <w:tcPr>
            <w:tcW w:w="567" w:type="dxa"/>
            <w:shd w:val="clear" w:color="auto" w:fill="DBE5F1" w:themeFill="accent1" w:themeFillTint="33"/>
            <w:vAlign w:val="center"/>
          </w:tcPr>
          <w:p w14:paraId="2395553F" w14:textId="77777777" w:rsidR="00B673B9" w:rsidRPr="00656000" w:rsidRDefault="00B673B9" w:rsidP="000E3341">
            <w:pPr>
              <w:spacing w:before="120" w:after="120"/>
              <w:jc w:val="center"/>
              <w:cnfStyle w:val="000000000000" w:firstRow="0" w:lastRow="0" w:firstColumn="0" w:lastColumn="0" w:oddVBand="0" w:evenVBand="0" w:oddHBand="0" w:evenHBand="0" w:firstRowFirstColumn="0" w:firstRowLastColumn="0" w:lastRowFirstColumn="0" w:lastRowLastColumn="0"/>
              <w:rPr>
                <w:color w:val="0070C0"/>
                <w:sz w:val="16"/>
                <w:szCs w:val="16"/>
                <w:lang w:val="en-GB"/>
              </w:rPr>
            </w:pPr>
            <w:r w:rsidRPr="00F1650E">
              <w:rPr>
                <w:color w:val="0070C0"/>
                <w:sz w:val="12"/>
                <w:szCs w:val="12"/>
                <w:lang w:val="en-GB"/>
              </w:rPr>
              <w:t>4</w:t>
            </w:r>
            <w:r w:rsidRPr="00F1650E">
              <w:rPr>
                <w:color w:val="0070C0"/>
                <w:sz w:val="12"/>
                <w:szCs w:val="12"/>
                <w:vertAlign w:val="superscript"/>
                <w:lang w:val="en-GB"/>
              </w:rPr>
              <w:t>th</w:t>
            </w:r>
            <w:r w:rsidRPr="00F1650E">
              <w:rPr>
                <w:color w:val="0070C0"/>
                <w:sz w:val="12"/>
                <w:szCs w:val="12"/>
                <w:lang w:val="en-GB"/>
              </w:rPr>
              <w:t xml:space="preserve"> quarter</w:t>
            </w:r>
          </w:p>
        </w:tc>
        <w:tc>
          <w:tcPr>
            <w:tcW w:w="567" w:type="dxa"/>
            <w:shd w:val="clear" w:color="auto" w:fill="DBE5F1" w:themeFill="accent1" w:themeFillTint="33"/>
            <w:vAlign w:val="center"/>
          </w:tcPr>
          <w:p w14:paraId="32F407FC" w14:textId="77777777" w:rsidR="00B673B9" w:rsidRPr="00656000" w:rsidRDefault="00B673B9" w:rsidP="000E3341">
            <w:pPr>
              <w:spacing w:before="120" w:after="120"/>
              <w:jc w:val="center"/>
              <w:cnfStyle w:val="000000000000" w:firstRow="0" w:lastRow="0" w:firstColumn="0" w:lastColumn="0" w:oddVBand="0" w:evenVBand="0" w:oddHBand="0" w:evenHBand="0" w:firstRowFirstColumn="0" w:firstRowLastColumn="0" w:lastRowFirstColumn="0" w:lastRowLastColumn="0"/>
              <w:rPr>
                <w:color w:val="0070C0"/>
                <w:sz w:val="16"/>
                <w:szCs w:val="16"/>
                <w:lang w:val="en-GB"/>
              </w:rPr>
            </w:pPr>
            <w:r w:rsidRPr="00F1650E">
              <w:rPr>
                <w:color w:val="0070C0"/>
                <w:sz w:val="12"/>
                <w:szCs w:val="12"/>
                <w:lang w:val="en-GB"/>
              </w:rPr>
              <w:t>1</w:t>
            </w:r>
            <w:r w:rsidRPr="00F1650E">
              <w:rPr>
                <w:color w:val="0070C0"/>
                <w:sz w:val="12"/>
                <w:szCs w:val="12"/>
                <w:vertAlign w:val="superscript"/>
                <w:lang w:val="en-GB"/>
              </w:rPr>
              <w:t>st</w:t>
            </w:r>
            <w:r w:rsidRPr="00F1650E">
              <w:rPr>
                <w:color w:val="0070C0"/>
                <w:sz w:val="12"/>
                <w:szCs w:val="12"/>
                <w:lang w:val="en-GB"/>
              </w:rPr>
              <w:t xml:space="preserve"> quarter</w:t>
            </w:r>
          </w:p>
        </w:tc>
        <w:tc>
          <w:tcPr>
            <w:tcW w:w="567" w:type="dxa"/>
            <w:shd w:val="clear" w:color="auto" w:fill="DBE5F1" w:themeFill="accent1" w:themeFillTint="33"/>
            <w:vAlign w:val="center"/>
          </w:tcPr>
          <w:p w14:paraId="56E32DEE" w14:textId="77777777" w:rsidR="00B673B9" w:rsidRPr="00656000" w:rsidRDefault="00B673B9" w:rsidP="000E3341">
            <w:pPr>
              <w:spacing w:before="120" w:after="120"/>
              <w:jc w:val="center"/>
              <w:cnfStyle w:val="000000000000" w:firstRow="0" w:lastRow="0" w:firstColumn="0" w:lastColumn="0" w:oddVBand="0" w:evenVBand="0" w:oddHBand="0" w:evenHBand="0" w:firstRowFirstColumn="0" w:firstRowLastColumn="0" w:lastRowFirstColumn="0" w:lastRowLastColumn="0"/>
              <w:rPr>
                <w:color w:val="0070C0"/>
                <w:sz w:val="16"/>
                <w:szCs w:val="16"/>
                <w:lang w:val="en-GB"/>
              </w:rPr>
            </w:pPr>
            <w:r w:rsidRPr="00F1650E">
              <w:rPr>
                <w:color w:val="0070C0"/>
                <w:sz w:val="12"/>
                <w:szCs w:val="12"/>
                <w:lang w:val="en-GB"/>
              </w:rPr>
              <w:t>2</w:t>
            </w:r>
            <w:r w:rsidRPr="00F1650E">
              <w:rPr>
                <w:color w:val="0070C0"/>
                <w:sz w:val="12"/>
                <w:szCs w:val="12"/>
                <w:vertAlign w:val="superscript"/>
                <w:lang w:val="en-GB"/>
              </w:rPr>
              <w:t>nd</w:t>
            </w:r>
            <w:r w:rsidRPr="00F1650E">
              <w:rPr>
                <w:color w:val="0070C0"/>
                <w:sz w:val="12"/>
                <w:szCs w:val="12"/>
                <w:lang w:val="en-GB"/>
              </w:rPr>
              <w:t xml:space="preserve"> quarter</w:t>
            </w:r>
          </w:p>
        </w:tc>
        <w:tc>
          <w:tcPr>
            <w:tcW w:w="567" w:type="dxa"/>
            <w:shd w:val="clear" w:color="auto" w:fill="DBE5F1" w:themeFill="accent1" w:themeFillTint="33"/>
            <w:vAlign w:val="center"/>
          </w:tcPr>
          <w:p w14:paraId="6465E611" w14:textId="77777777" w:rsidR="00B673B9" w:rsidRPr="00656000" w:rsidRDefault="00B673B9" w:rsidP="000E3341">
            <w:pPr>
              <w:spacing w:before="120" w:after="120"/>
              <w:jc w:val="center"/>
              <w:cnfStyle w:val="000000000000" w:firstRow="0" w:lastRow="0" w:firstColumn="0" w:lastColumn="0" w:oddVBand="0" w:evenVBand="0" w:oddHBand="0" w:evenHBand="0" w:firstRowFirstColumn="0" w:firstRowLastColumn="0" w:lastRowFirstColumn="0" w:lastRowLastColumn="0"/>
              <w:rPr>
                <w:color w:val="0070C0"/>
                <w:sz w:val="16"/>
                <w:szCs w:val="16"/>
                <w:lang w:val="en-GB"/>
              </w:rPr>
            </w:pPr>
            <w:r w:rsidRPr="00F1650E">
              <w:rPr>
                <w:color w:val="0070C0"/>
                <w:sz w:val="12"/>
                <w:szCs w:val="12"/>
                <w:lang w:val="en-GB"/>
              </w:rPr>
              <w:t>3</w:t>
            </w:r>
            <w:r w:rsidRPr="00F1650E">
              <w:rPr>
                <w:color w:val="0070C0"/>
                <w:sz w:val="12"/>
                <w:szCs w:val="12"/>
                <w:vertAlign w:val="superscript"/>
                <w:lang w:val="en-GB"/>
              </w:rPr>
              <w:t>rd</w:t>
            </w:r>
            <w:r w:rsidRPr="00F1650E">
              <w:rPr>
                <w:color w:val="0070C0"/>
                <w:sz w:val="12"/>
                <w:szCs w:val="12"/>
                <w:lang w:val="en-GB"/>
              </w:rPr>
              <w:t xml:space="preserve"> quarter</w:t>
            </w:r>
          </w:p>
        </w:tc>
        <w:tc>
          <w:tcPr>
            <w:tcW w:w="567" w:type="dxa"/>
            <w:shd w:val="clear" w:color="auto" w:fill="DBE5F1" w:themeFill="accent1" w:themeFillTint="33"/>
            <w:vAlign w:val="center"/>
          </w:tcPr>
          <w:p w14:paraId="3437F584" w14:textId="77777777" w:rsidR="00B673B9" w:rsidRPr="00656000" w:rsidRDefault="00B673B9" w:rsidP="000E3341">
            <w:pPr>
              <w:spacing w:before="120" w:after="120"/>
              <w:jc w:val="center"/>
              <w:cnfStyle w:val="000000000000" w:firstRow="0" w:lastRow="0" w:firstColumn="0" w:lastColumn="0" w:oddVBand="0" w:evenVBand="0" w:oddHBand="0" w:evenHBand="0" w:firstRowFirstColumn="0" w:firstRowLastColumn="0" w:lastRowFirstColumn="0" w:lastRowLastColumn="0"/>
              <w:rPr>
                <w:color w:val="0070C0"/>
                <w:sz w:val="16"/>
                <w:szCs w:val="16"/>
                <w:lang w:val="en-GB"/>
              </w:rPr>
            </w:pPr>
            <w:r w:rsidRPr="00F1650E">
              <w:rPr>
                <w:color w:val="0070C0"/>
                <w:sz w:val="12"/>
                <w:szCs w:val="12"/>
                <w:lang w:val="en-GB"/>
              </w:rPr>
              <w:t>4</w:t>
            </w:r>
            <w:r w:rsidRPr="00F1650E">
              <w:rPr>
                <w:color w:val="0070C0"/>
                <w:sz w:val="12"/>
                <w:szCs w:val="12"/>
                <w:vertAlign w:val="superscript"/>
                <w:lang w:val="en-GB"/>
              </w:rPr>
              <w:t>th</w:t>
            </w:r>
            <w:r w:rsidRPr="00F1650E">
              <w:rPr>
                <w:color w:val="0070C0"/>
                <w:sz w:val="12"/>
                <w:szCs w:val="12"/>
                <w:lang w:val="en-GB"/>
              </w:rPr>
              <w:t xml:space="preserve"> quarter</w:t>
            </w:r>
          </w:p>
        </w:tc>
        <w:tc>
          <w:tcPr>
            <w:tcW w:w="567" w:type="dxa"/>
            <w:shd w:val="clear" w:color="auto" w:fill="DBE5F1" w:themeFill="accent1" w:themeFillTint="33"/>
            <w:vAlign w:val="center"/>
          </w:tcPr>
          <w:p w14:paraId="61D28C89" w14:textId="77777777" w:rsidR="00B673B9" w:rsidRPr="00656000" w:rsidRDefault="00B673B9" w:rsidP="000E3341">
            <w:pPr>
              <w:spacing w:before="120" w:after="120"/>
              <w:jc w:val="center"/>
              <w:cnfStyle w:val="000000000000" w:firstRow="0" w:lastRow="0" w:firstColumn="0" w:lastColumn="0" w:oddVBand="0" w:evenVBand="0" w:oddHBand="0" w:evenHBand="0" w:firstRowFirstColumn="0" w:firstRowLastColumn="0" w:lastRowFirstColumn="0" w:lastRowLastColumn="0"/>
              <w:rPr>
                <w:color w:val="0070C0"/>
                <w:sz w:val="16"/>
                <w:szCs w:val="16"/>
                <w:lang w:val="en-GB"/>
              </w:rPr>
            </w:pPr>
            <w:r w:rsidRPr="00F1650E">
              <w:rPr>
                <w:color w:val="0070C0"/>
                <w:sz w:val="12"/>
                <w:szCs w:val="12"/>
                <w:lang w:val="en-GB"/>
              </w:rPr>
              <w:t>1</w:t>
            </w:r>
            <w:r w:rsidRPr="00F1650E">
              <w:rPr>
                <w:color w:val="0070C0"/>
                <w:sz w:val="12"/>
                <w:szCs w:val="12"/>
                <w:vertAlign w:val="superscript"/>
                <w:lang w:val="en-GB"/>
              </w:rPr>
              <w:t>st</w:t>
            </w:r>
            <w:r w:rsidRPr="00F1650E">
              <w:rPr>
                <w:color w:val="0070C0"/>
                <w:sz w:val="12"/>
                <w:szCs w:val="12"/>
                <w:lang w:val="en-GB"/>
              </w:rPr>
              <w:t xml:space="preserve"> quarter</w:t>
            </w:r>
          </w:p>
        </w:tc>
        <w:tc>
          <w:tcPr>
            <w:tcW w:w="567" w:type="dxa"/>
            <w:shd w:val="clear" w:color="auto" w:fill="DBE5F1" w:themeFill="accent1" w:themeFillTint="33"/>
            <w:vAlign w:val="center"/>
          </w:tcPr>
          <w:p w14:paraId="65665DD3" w14:textId="77777777" w:rsidR="00B673B9" w:rsidRPr="00656000" w:rsidRDefault="00B673B9" w:rsidP="000E3341">
            <w:pPr>
              <w:spacing w:before="120" w:after="120"/>
              <w:jc w:val="center"/>
              <w:cnfStyle w:val="000000000000" w:firstRow="0" w:lastRow="0" w:firstColumn="0" w:lastColumn="0" w:oddVBand="0" w:evenVBand="0" w:oddHBand="0" w:evenHBand="0" w:firstRowFirstColumn="0" w:firstRowLastColumn="0" w:lastRowFirstColumn="0" w:lastRowLastColumn="0"/>
              <w:rPr>
                <w:color w:val="0070C0"/>
                <w:sz w:val="16"/>
                <w:szCs w:val="16"/>
                <w:lang w:val="en-GB"/>
              </w:rPr>
            </w:pPr>
            <w:r w:rsidRPr="00F1650E">
              <w:rPr>
                <w:color w:val="0070C0"/>
                <w:sz w:val="12"/>
                <w:szCs w:val="12"/>
                <w:lang w:val="en-GB"/>
              </w:rPr>
              <w:t>2</w:t>
            </w:r>
            <w:r w:rsidRPr="00F1650E">
              <w:rPr>
                <w:color w:val="0070C0"/>
                <w:sz w:val="12"/>
                <w:szCs w:val="12"/>
                <w:vertAlign w:val="superscript"/>
                <w:lang w:val="en-GB"/>
              </w:rPr>
              <w:t>nd</w:t>
            </w:r>
            <w:r w:rsidRPr="00F1650E">
              <w:rPr>
                <w:color w:val="0070C0"/>
                <w:sz w:val="12"/>
                <w:szCs w:val="12"/>
                <w:lang w:val="en-GB"/>
              </w:rPr>
              <w:t xml:space="preserve"> quarter</w:t>
            </w:r>
          </w:p>
        </w:tc>
        <w:tc>
          <w:tcPr>
            <w:tcW w:w="567" w:type="dxa"/>
            <w:shd w:val="clear" w:color="auto" w:fill="DBE5F1" w:themeFill="accent1" w:themeFillTint="33"/>
            <w:vAlign w:val="center"/>
          </w:tcPr>
          <w:p w14:paraId="232A63BC" w14:textId="77777777" w:rsidR="00B673B9" w:rsidRPr="00656000" w:rsidRDefault="00B673B9" w:rsidP="000E3341">
            <w:pPr>
              <w:spacing w:before="120" w:after="120"/>
              <w:jc w:val="center"/>
              <w:cnfStyle w:val="000000000000" w:firstRow="0" w:lastRow="0" w:firstColumn="0" w:lastColumn="0" w:oddVBand="0" w:evenVBand="0" w:oddHBand="0" w:evenHBand="0" w:firstRowFirstColumn="0" w:firstRowLastColumn="0" w:lastRowFirstColumn="0" w:lastRowLastColumn="0"/>
              <w:rPr>
                <w:color w:val="0070C0"/>
                <w:sz w:val="16"/>
                <w:szCs w:val="16"/>
                <w:lang w:val="en-GB"/>
              </w:rPr>
            </w:pPr>
            <w:r w:rsidRPr="00F1650E">
              <w:rPr>
                <w:color w:val="0070C0"/>
                <w:sz w:val="12"/>
                <w:szCs w:val="12"/>
                <w:lang w:val="en-GB"/>
              </w:rPr>
              <w:t>3</w:t>
            </w:r>
            <w:r w:rsidRPr="00F1650E">
              <w:rPr>
                <w:color w:val="0070C0"/>
                <w:sz w:val="12"/>
                <w:szCs w:val="12"/>
                <w:vertAlign w:val="superscript"/>
                <w:lang w:val="en-GB"/>
              </w:rPr>
              <w:t>rd</w:t>
            </w:r>
            <w:r w:rsidRPr="00F1650E">
              <w:rPr>
                <w:color w:val="0070C0"/>
                <w:sz w:val="12"/>
                <w:szCs w:val="12"/>
                <w:lang w:val="en-GB"/>
              </w:rPr>
              <w:t xml:space="preserve"> quarter</w:t>
            </w:r>
          </w:p>
        </w:tc>
        <w:tc>
          <w:tcPr>
            <w:tcW w:w="567" w:type="dxa"/>
            <w:shd w:val="clear" w:color="auto" w:fill="DBE5F1" w:themeFill="accent1" w:themeFillTint="33"/>
            <w:vAlign w:val="center"/>
          </w:tcPr>
          <w:p w14:paraId="2C40F558" w14:textId="77777777" w:rsidR="00B673B9" w:rsidRPr="00656000" w:rsidRDefault="00B673B9" w:rsidP="000E3341">
            <w:pPr>
              <w:spacing w:before="120" w:after="120"/>
              <w:jc w:val="center"/>
              <w:cnfStyle w:val="000000000000" w:firstRow="0" w:lastRow="0" w:firstColumn="0" w:lastColumn="0" w:oddVBand="0" w:evenVBand="0" w:oddHBand="0" w:evenHBand="0" w:firstRowFirstColumn="0" w:firstRowLastColumn="0" w:lastRowFirstColumn="0" w:lastRowLastColumn="0"/>
              <w:rPr>
                <w:color w:val="0070C0"/>
                <w:sz w:val="16"/>
                <w:szCs w:val="16"/>
                <w:lang w:val="en-GB"/>
              </w:rPr>
            </w:pPr>
            <w:r w:rsidRPr="00F1650E">
              <w:rPr>
                <w:color w:val="0070C0"/>
                <w:sz w:val="12"/>
                <w:szCs w:val="12"/>
                <w:lang w:val="en-GB"/>
              </w:rPr>
              <w:t>4</w:t>
            </w:r>
            <w:r w:rsidRPr="00F1650E">
              <w:rPr>
                <w:color w:val="0070C0"/>
                <w:sz w:val="12"/>
                <w:szCs w:val="12"/>
                <w:vertAlign w:val="superscript"/>
                <w:lang w:val="en-GB"/>
              </w:rPr>
              <w:t>th</w:t>
            </w:r>
            <w:r w:rsidRPr="00F1650E">
              <w:rPr>
                <w:color w:val="0070C0"/>
                <w:sz w:val="12"/>
                <w:szCs w:val="12"/>
                <w:lang w:val="en-GB"/>
              </w:rPr>
              <w:t xml:space="preserve"> quarter</w:t>
            </w:r>
          </w:p>
        </w:tc>
      </w:tr>
      <w:tr w:rsidR="00B673B9" w:rsidRPr="00771906" w14:paraId="0BDFF4BC" w14:textId="77777777" w:rsidTr="000E3341">
        <w:tc>
          <w:tcPr>
            <w:cnfStyle w:val="001000000000" w:firstRow="0" w:lastRow="0" w:firstColumn="1" w:lastColumn="0" w:oddVBand="0" w:evenVBand="0" w:oddHBand="0" w:evenHBand="0" w:firstRowFirstColumn="0" w:firstRowLastColumn="0" w:lastRowFirstColumn="0" w:lastRowLastColumn="0"/>
            <w:tcW w:w="869" w:type="dxa"/>
            <w:shd w:val="clear" w:color="auto" w:fill="FFFFFF" w:themeFill="background1"/>
            <w:vAlign w:val="center"/>
          </w:tcPr>
          <w:p w14:paraId="4F401FBA" w14:textId="77777777" w:rsidR="00B673B9" w:rsidRPr="00771906" w:rsidRDefault="00B673B9" w:rsidP="000E3341">
            <w:pPr>
              <w:spacing w:after="120"/>
              <w:jc w:val="both"/>
              <w:rPr>
                <w:color w:val="0070C0"/>
                <w:sz w:val="18"/>
                <w:szCs w:val="18"/>
                <w:lang w:val="en-GB"/>
              </w:rPr>
            </w:pPr>
            <w:r w:rsidRPr="00771906">
              <w:rPr>
                <w:b w:val="0"/>
                <w:bCs w:val="0"/>
                <w:color w:val="0070C0"/>
                <w:sz w:val="18"/>
                <w:szCs w:val="18"/>
                <w:lang w:val="en-GB"/>
              </w:rPr>
              <w:t>Spruce sawlogs 18-28 cm</w:t>
            </w:r>
          </w:p>
        </w:tc>
        <w:tc>
          <w:tcPr>
            <w:tcW w:w="549" w:type="dxa"/>
            <w:shd w:val="clear" w:color="auto" w:fill="FFFFFF" w:themeFill="background1"/>
            <w:vAlign w:val="center"/>
          </w:tcPr>
          <w:p w14:paraId="6A0DF032"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vAlign w:val="center"/>
          </w:tcPr>
          <w:p w14:paraId="33C48EE6"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vAlign w:val="center"/>
          </w:tcPr>
          <w:p w14:paraId="16AAD424"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vAlign w:val="center"/>
          </w:tcPr>
          <w:p w14:paraId="3299209A"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37847E46"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70ED2476"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549CA552"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187F2EB5"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622F8927"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54AD8E3C"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2136714F"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40A5B18D"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2F993D80"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24D911B9"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36899EDB"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589FF752"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r>
      <w:tr w:rsidR="00B673B9" w:rsidRPr="00771906" w14:paraId="630AA145" w14:textId="77777777" w:rsidTr="000E3341">
        <w:tc>
          <w:tcPr>
            <w:cnfStyle w:val="001000000000" w:firstRow="0" w:lastRow="0" w:firstColumn="1" w:lastColumn="0" w:oddVBand="0" w:evenVBand="0" w:oddHBand="0" w:evenHBand="0" w:firstRowFirstColumn="0" w:firstRowLastColumn="0" w:lastRowFirstColumn="0" w:lastRowLastColumn="0"/>
            <w:tcW w:w="869" w:type="dxa"/>
            <w:shd w:val="clear" w:color="auto" w:fill="FFFFFF" w:themeFill="background1"/>
            <w:vAlign w:val="center"/>
          </w:tcPr>
          <w:p w14:paraId="29BC9203" w14:textId="77777777" w:rsidR="00B673B9" w:rsidRPr="00771906" w:rsidRDefault="00B673B9" w:rsidP="000E3341">
            <w:pPr>
              <w:spacing w:after="120"/>
              <w:jc w:val="both"/>
              <w:rPr>
                <w:color w:val="0070C0"/>
                <w:sz w:val="18"/>
                <w:szCs w:val="18"/>
                <w:lang w:val="en-GB"/>
              </w:rPr>
            </w:pPr>
            <w:r w:rsidRPr="00771906">
              <w:rPr>
                <w:b w:val="0"/>
                <w:bCs w:val="0"/>
                <w:color w:val="0070C0"/>
                <w:sz w:val="18"/>
                <w:szCs w:val="18"/>
                <w:lang w:val="en-GB"/>
              </w:rPr>
              <w:t>Pine sawlogs 18-28 cm</w:t>
            </w:r>
          </w:p>
        </w:tc>
        <w:tc>
          <w:tcPr>
            <w:tcW w:w="549" w:type="dxa"/>
            <w:shd w:val="clear" w:color="auto" w:fill="FFFFFF" w:themeFill="background1"/>
            <w:vAlign w:val="center"/>
          </w:tcPr>
          <w:p w14:paraId="423A3C08"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vAlign w:val="center"/>
          </w:tcPr>
          <w:p w14:paraId="4F1DC88F"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vAlign w:val="center"/>
          </w:tcPr>
          <w:p w14:paraId="44A404FE"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vAlign w:val="center"/>
          </w:tcPr>
          <w:p w14:paraId="63606574"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04210389"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019163EF"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41B36E0A"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1B91418A"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2E8C0A26"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4D6E246D"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15785486"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444F53E0"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32517EE2"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7B7D7B04"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17E53D45"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506C3A6F"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r>
      <w:tr w:rsidR="00B673B9" w:rsidRPr="00771906" w14:paraId="14CF1DA3" w14:textId="77777777" w:rsidTr="000E3341">
        <w:tc>
          <w:tcPr>
            <w:cnfStyle w:val="001000000000" w:firstRow="0" w:lastRow="0" w:firstColumn="1" w:lastColumn="0" w:oddVBand="0" w:evenVBand="0" w:oddHBand="0" w:evenHBand="0" w:firstRowFirstColumn="0" w:firstRowLastColumn="0" w:lastRowFirstColumn="0" w:lastRowLastColumn="0"/>
            <w:tcW w:w="869" w:type="dxa"/>
            <w:shd w:val="clear" w:color="auto" w:fill="FFFFFF" w:themeFill="background1"/>
            <w:vAlign w:val="center"/>
          </w:tcPr>
          <w:p w14:paraId="29D9B1F4" w14:textId="77777777" w:rsidR="00B673B9" w:rsidRPr="00771906" w:rsidRDefault="00B673B9" w:rsidP="000E3341">
            <w:pPr>
              <w:spacing w:after="120"/>
              <w:jc w:val="center"/>
              <w:rPr>
                <w:color w:val="0070C0"/>
                <w:sz w:val="18"/>
                <w:szCs w:val="18"/>
                <w:lang w:val="en-GB"/>
              </w:rPr>
            </w:pPr>
          </w:p>
        </w:tc>
        <w:tc>
          <w:tcPr>
            <w:tcW w:w="549" w:type="dxa"/>
            <w:shd w:val="clear" w:color="auto" w:fill="FFFFFF" w:themeFill="background1"/>
            <w:vAlign w:val="center"/>
          </w:tcPr>
          <w:p w14:paraId="1F8CA7F9"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vAlign w:val="center"/>
          </w:tcPr>
          <w:p w14:paraId="7214B620"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vAlign w:val="center"/>
          </w:tcPr>
          <w:p w14:paraId="1F9BCC15"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vAlign w:val="center"/>
          </w:tcPr>
          <w:p w14:paraId="36F10F2E"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58E03179"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2BD6E006"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6D5D23B0"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292F0B27"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0CCBA685"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7BBFFD80"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0F6D18C1"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675B6453"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3824B78B"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73A21ED8"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2D862C05"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567" w:type="dxa"/>
            <w:shd w:val="clear" w:color="auto" w:fill="FFFFFF" w:themeFill="background1"/>
            <w:vAlign w:val="center"/>
          </w:tcPr>
          <w:p w14:paraId="0F5396DC" w14:textId="77777777" w:rsidR="00B673B9" w:rsidRPr="00771906" w:rsidRDefault="00B673B9" w:rsidP="000E3341">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r>
    </w:tbl>
    <w:p w14:paraId="233EFC24" w14:textId="68B0B407" w:rsidR="00234BA4" w:rsidRPr="00771906" w:rsidRDefault="00844281" w:rsidP="00B673B9">
      <w:pPr>
        <w:spacing w:before="120" w:after="120" w:line="240" w:lineRule="auto"/>
        <w:ind w:left="851"/>
        <w:jc w:val="both"/>
        <w:rPr>
          <w:color w:val="0070C0"/>
          <w:sz w:val="22"/>
          <w:lang w:val="en-GB"/>
        </w:rPr>
      </w:pPr>
      <w:r w:rsidRPr="00771906">
        <w:rPr>
          <w:color w:val="0070C0"/>
          <w:sz w:val="22"/>
          <w:lang w:val="en-GB"/>
        </w:rPr>
        <w:t>*</w:t>
      </w:r>
      <w:r w:rsidR="00656000" w:rsidRPr="00656000">
        <w:t xml:space="preserve"> </w:t>
      </w:r>
      <w:r w:rsidR="00656000" w:rsidRPr="00656000">
        <w:rPr>
          <w:i/>
          <w:iCs/>
          <w:sz w:val="18"/>
          <w:szCs w:val="18"/>
          <w:lang w:val="en-GB"/>
        </w:rPr>
        <w:t>If spruce and pine sawlog products/assortment in this diameter are not offered, please provide information broken down by product/assortment types offered by the State Forest Management Centre.</w:t>
      </w:r>
    </w:p>
    <w:p w14:paraId="309894E5" w14:textId="3FC5DA9B" w:rsidR="00B673B9" w:rsidRPr="00B673B9" w:rsidRDefault="00DF582E" w:rsidP="00B673B9">
      <w:pPr>
        <w:spacing w:before="120" w:after="120" w:line="240" w:lineRule="auto"/>
        <w:ind w:left="425"/>
        <w:jc w:val="both"/>
        <w:rPr>
          <w:sz w:val="22"/>
          <w:lang w:val="en-GB"/>
        </w:rPr>
      </w:pPr>
      <w:r w:rsidRPr="00507CA1">
        <w:rPr>
          <w:sz w:val="22"/>
          <w:lang w:val="en-GB"/>
        </w:rPr>
        <w:t>2.</w:t>
      </w:r>
      <w:r w:rsidR="006E0C33" w:rsidRPr="00507CA1">
        <w:rPr>
          <w:sz w:val="22"/>
          <w:lang w:val="en-GB"/>
        </w:rPr>
        <w:t>4</w:t>
      </w:r>
      <w:r w:rsidRPr="00507CA1">
        <w:rPr>
          <w:sz w:val="22"/>
          <w:lang w:val="en-GB"/>
        </w:rPr>
        <w:t xml:space="preserve">. </w:t>
      </w:r>
      <w:r w:rsidR="00B673B9" w:rsidRPr="00507CA1">
        <w:rPr>
          <w:sz w:val="22"/>
          <w:lang w:val="en-GB"/>
        </w:rPr>
        <w:t>Please indicate based upon which calculation principle has the average price been determined (simple arithmetic average, weighted average price, etc.)?</w:t>
      </w:r>
    </w:p>
    <w:p w14:paraId="554F26A2" w14:textId="0BCF73C2" w:rsidR="00DF582E" w:rsidRDefault="00B673B9" w:rsidP="00DF582E">
      <w:pPr>
        <w:spacing w:before="120" w:after="120" w:line="240" w:lineRule="auto"/>
        <w:ind w:left="425"/>
        <w:jc w:val="both"/>
        <w:rPr>
          <w:sz w:val="22"/>
          <w:lang w:val="en-GB"/>
        </w:rPr>
      </w:pPr>
      <w:r>
        <w:rPr>
          <w:sz w:val="22"/>
          <w:lang w:val="en-GB"/>
        </w:rPr>
        <w:t xml:space="preserve">2.5. </w:t>
      </w:r>
      <w:r w:rsidR="00DF582E" w:rsidRPr="00DF582E">
        <w:rPr>
          <w:sz w:val="22"/>
          <w:lang w:val="en-GB"/>
        </w:rPr>
        <w:t>Please indicate whether the above price of spruce and pine sawlogs also includes transportation costs for delivery to the buyer?</w:t>
      </w:r>
    </w:p>
    <w:p w14:paraId="49D997C6" w14:textId="74D38811" w:rsidR="00CD42F7" w:rsidRPr="00771906" w:rsidRDefault="00DF582E" w:rsidP="002A7811">
      <w:pPr>
        <w:spacing w:before="120" w:after="120" w:line="240" w:lineRule="auto"/>
        <w:jc w:val="both"/>
        <w:rPr>
          <w:color w:val="0070C0"/>
          <w:sz w:val="22"/>
          <w:lang w:val="en-GB"/>
        </w:rPr>
      </w:pPr>
      <w:r w:rsidRPr="00DF582E">
        <w:rPr>
          <w:color w:val="0070C0"/>
          <w:sz w:val="22"/>
          <w:lang w:val="en-GB"/>
        </w:rPr>
        <w:t xml:space="preserve">Payments for the use of state capital </w:t>
      </w:r>
      <w:r w:rsidR="00BC64B8" w:rsidRPr="00771906">
        <w:rPr>
          <w:color w:val="0070C0"/>
          <w:sz w:val="22"/>
          <w:lang w:val="en-GB"/>
        </w:rPr>
        <w:t>(dividends)</w:t>
      </w:r>
    </w:p>
    <w:p w14:paraId="2A23A8C4" w14:textId="77777777" w:rsidR="00DF582E" w:rsidRDefault="00727660" w:rsidP="00454806">
      <w:pPr>
        <w:pStyle w:val="ListParagraph"/>
        <w:numPr>
          <w:ilvl w:val="0"/>
          <w:numId w:val="6"/>
        </w:numPr>
        <w:spacing w:before="120" w:after="120" w:line="240" w:lineRule="auto"/>
        <w:ind w:left="357" w:hanging="357"/>
        <w:contextualSpacing w:val="0"/>
        <w:jc w:val="both"/>
        <w:rPr>
          <w:sz w:val="22"/>
          <w:lang w:val="en-GB"/>
        </w:rPr>
      </w:pPr>
      <w:r w:rsidRPr="00DF582E">
        <w:rPr>
          <w:rFonts w:eastAsia="Times New Roman" w:cs="Times New Roman"/>
          <w:color w:val="212529"/>
          <w:sz w:val="22"/>
          <w:lang w:val="en-GB" w:eastAsia="lv-LV"/>
        </w:rPr>
        <w:t>According to the publicly available information</w:t>
      </w:r>
      <w:r w:rsidR="00DF582E">
        <w:rPr>
          <w:rFonts w:eastAsia="Times New Roman" w:cs="Times New Roman"/>
          <w:color w:val="212529"/>
          <w:sz w:val="22"/>
          <w:lang w:val="en-GB" w:eastAsia="lv-LV"/>
        </w:rPr>
        <w:t>,</w:t>
      </w:r>
      <w:r w:rsidRPr="00DF582E">
        <w:rPr>
          <w:rFonts w:eastAsia="Times New Roman" w:cs="Times New Roman"/>
          <w:color w:val="212529"/>
          <w:sz w:val="22"/>
          <w:lang w:val="en-GB" w:eastAsia="lv-LV"/>
        </w:rPr>
        <w:t xml:space="preserve"> t</w:t>
      </w:r>
      <w:r w:rsidRPr="00DF582E">
        <w:rPr>
          <w:sz w:val="22"/>
          <w:lang w:val="en-GB"/>
        </w:rPr>
        <w:t xml:space="preserve">he state as the owner expects that </w:t>
      </w:r>
      <w:r w:rsidR="00631941" w:rsidRPr="00DF582E">
        <w:rPr>
          <w:sz w:val="22"/>
          <w:lang w:val="en-GB"/>
        </w:rPr>
        <w:t xml:space="preserve">the </w:t>
      </w:r>
      <w:r w:rsidR="00631941" w:rsidRPr="00DF582E">
        <w:rPr>
          <w:i/>
          <w:iCs/>
          <w:sz w:val="22"/>
          <w:lang w:val="en-GB"/>
        </w:rPr>
        <w:t>State Forest Management Centre</w:t>
      </w:r>
      <w:r w:rsidR="00631941" w:rsidRPr="00DF582E">
        <w:rPr>
          <w:sz w:val="22"/>
          <w:lang w:val="en-GB"/>
        </w:rPr>
        <w:t xml:space="preserve"> </w:t>
      </w:r>
      <w:r w:rsidRPr="00DF582E">
        <w:rPr>
          <w:sz w:val="22"/>
          <w:lang w:val="en-GB"/>
        </w:rPr>
        <w:t>pays a stable owner income and a regular dividend rate of 75 %</w:t>
      </w:r>
      <w:r w:rsidRPr="00771906">
        <w:rPr>
          <w:rStyle w:val="FootnoteReference"/>
          <w:sz w:val="22"/>
          <w:lang w:val="en-GB"/>
        </w:rPr>
        <w:footnoteReference w:id="2"/>
      </w:r>
      <w:r w:rsidRPr="00DF582E">
        <w:rPr>
          <w:sz w:val="22"/>
          <w:lang w:val="en-GB"/>
        </w:rPr>
        <w:t xml:space="preserve"> (from net profit).</w:t>
      </w:r>
      <w:bookmarkStart w:id="0" w:name="_Hlk214019545"/>
      <w:bookmarkStart w:id="1" w:name="_Hlk214015471"/>
    </w:p>
    <w:p w14:paraId="74F45CC1" w14:textId="77777777" w:rsidR="00454806" w:rsidRPr="00B778AC" w:rsidRDefault="00454806" w:rsidP="00454806">
      <w:pPr>
        <w:pStyle w:val="ListParagraph"/>
        <w:spacing w:before="120" w:after="120" w:line="240" w:lineRule="auto"/>
        <w:ind w:left="357"/>
        <w:contextualSpacing w:val="0"/>
        <w:jc w:val="both"/>
        <w:rPr>
          <w:sz w:val="22"/>
          <w:lang w:val="en-GB"/>
        </w:rPr>
      </w:pPr>
      <w:r w:rsidRPr="00507CA1">
        <w:rPr>
          <w:sz w:val="22"/>
          <w:lang w:val="en-GB"/>
        </w:rPr>
        <w:t xml:space="preserve">The </w:t>
      </w:r>
      <w:r w:rsidRPr="00507CA1">
        <w:rPr>
          <w:rFonts w:eastAsia="Times New Roman" w:cs="Times New Roman"/>
          <w:color w:val="212529"/>
          <w:sz w:val="22"/>
          <w:lang w:val="en-GB" w:eastAsia="lv-LV"/>
        </w:rPr>
        <w:t>planned</w:t>
      </w:r>
      <w:r w:rsidRPr="00507CA1">
        <w:rPr>
          <w:sz w:val="22"/>
          <w:lang w:val="en-GB"/>
        </w:rPr>
        <w:t xml:space="preserve"> owner income for the period 2025–2028, including income tax and tax changes, is 50.6 million euros per year, due to the government's decision to increase the dividend by 5%</w:t>
      </w:r>
      <w:r w:rsidRPr="00507CA1">
        <w:rPr>
          <w:rStyle w:val="FootnoteReference"/>
          <w:sz w:val="22"/>
          <w:lang w:val="en-GB"/>
        </w:rPr>
        <w:footnoteReference w:id="3"/>
      </w:r>
      <w:r w:rsidRPr="00507CA1">
        <w:rPr>
          <w:sz w:val="22"/>
          <w:lang w:val="en-GB"/>
        </w:rPr>
        <w:t>.</w:t>
      </w:r>
    </w:p>
    <w:p w14:paraId="12CC6BFA" w14:textId="77777777" w:rsidR="00DF582E" w:rsidRPr="00DF582E" w:rsidRDefault="00DF582E" w:rsidP="00DF582E">
      <w:pPr>
        <w:pStyle w:val="ListParagraph"/>
        <w:numPr>
          <w:ilvl w:val="1"/>
          <w:numId w:val="6"/>
        </w:numPr>
        <w:spacing w:before="120" w:after="120" w:line="240" w:lineRule="auto"/>
        <w:ind w:left="1349" w:hanging="357"/>
        <w:jc w:val="both"/>
        <w:rPr>
          <w:sz w:val="22"/>
          <w:lang w:val="en-GB"/>
        </w:rPr>
      </w:pPr>
      <w:r w:rsidRPr="00DF582E">
        <w:rPr>
          <w:sz w:val="22"/>
          <w:lang w:val="en-GB"/>
        </w:rPr>
        <w:t xml:space="preserve">What types of payments does the </w:t>
      </w:r>
      <w:r w:rsidRPr="00797FBA">
        <w:rPr>
          <w:i/>
          <w:iCs/>
          <w:sz w:val="22"/>
          <w:lang w:val="en-GB"/>
        </w:rPr>
        <w:t>State Forest Management Centre</w:t>
      </w:r>
      <w:r w:rsidRPr="00DF582E">
        <w:rPr>
          <w:sz w:val="22"/>
          <w:lang w:val="en-GB"/>
        </w:rPr>
        <w:t xml:space="preserve"> make to the state budget, for example, dividends, payments for the use of state capital, non-standard tax, concession payments for the use of state assets, etc.</w:t>
      </w:r>
      <w:r w:rsidR="00677CCA" w:rsidRPr="00DF582E">
        <w:rPr>
          <w:rFonts w:cs="Times New Roman"/>
          <w:sz w:val="22"/>
          <w:lang w:val="en-GB"/>
        </w:rPr>
        <w:t>?</w:t>
      </w:r>
    </w:p>
    <w:p w14:paraId="1F812165" w14:textId="7470A52B" w:rsidR="00D719D3" w:rsidRPr="00DF582E" w:rsidRDefault="00DF582E" w:rsidP="00DF582E">
      <w:pPr>
        <w:pStyle w:val="ListParagraph"/>
        <w:numPr>
          <w:ilvl w:val="1"/>
          <w:numId w:val="6"/>
        </w:numPr>
        <w:spacing w:before="120" w:after="120" w:line="240" w:lineRule="auto"/>
        <w:ind w:left="1349" w:hanging="357"/>
        <w:jc w:val="both"/>
        <w:rPr>
          <w:sz w:val="22"/>
          <w:lang w:val="en-GB"/>
        </w:rPr>
      </w:pPr>
      <w:r>
        <w:rPr>
          <w:rFonts w:cs="Times New Roman"/>
          <w:sz w:val="22"/>
          <w:lang w:val="en-GB"/>
        </w:rPr>
        <w:t>What is the planned and actual amount of these payments in the period from the years 2022 to 2025?</w:t>
      </w:r>
      <w:r w:rsidR="00677CCA" w:rsidRPr="00DF582E">
        <w:rPr>
          <w:rFonts w:cs="Times New Roman"/>
          <w:sz w:val="22"/>
          <w:lang w:val="en-GB"/>
        </w:rPr>
        <w:t xml:space="preserve"> </w:t>
      </w:r>
    </w:p>
    <w:p w14:paraId="4599A30C" w14:textId="1C150104" w:rsidR="003541FA" w:rsidRPr="00771906" w:rsidRDefault="00DF582E" w:rsidP="00DF582E">
      <w:pPr>
        <w:spacing w:before="120" w:after="120" w:line="240" w:lineRule="auto"/>
        <w:jc w:val="both"/>
        <w:rPr>
          <w:i/>
          <w:iCs/>
          <w:color w:val="0070C0"/>
          <w:sz w:val="22"/>
          <w:lang w:val="en-GB"/>
        </w:rPr>
      </w:pPr>
      <w:r w:rsidRPr="00DF582E">
        <w:rPr>
          <w:i/>
          <w:iCs/>
          <w:color w:val="0070C0"/>
          <w:sz w:val="22"/>
          <w:lang w:val="en"/>
        </w:rPr>
        <w:t xml:space="preserve">Please provide information on contributions to the state budget </w:t>
      </w:r>
      <w:proofErr w:type="gramStart"/>
      <w:r w:rsidRPr="00DF582E">
        <w:rPr>
          <w:i/>
          <w:iCs/>
          <w:color w:val="0070C0"/>
          <w:sz w:val="22"/>
          <w:lang w:val="en"/>
        </w:rPr>
        <w:t>in</w:t>
      </w:r>
      <w:proofErr w:type="gramEnd"/>
      <w:r w:rsidRPr="00DF582E">
        <w:rPr>
          <w:i/>
          <w:iCs/>
          <w:color w:val="0070C0"/>
          <w:sz w:val="22"/>
          <w:lang w:val="en"/>
        </w:rPr>
        <w:t xml:space="preserve"> the table below (please select the appropriate payment types; please indicate contributions for the results of the relevant financial year, regardless of the year of disbursement).</w:t>
      </w:r>
    </w:p>
    <w:tbl>
      <w:tblPr>
        <w:tblStyle w:val="GridTable1Light-Accent1"/>
        <w:tblW w:w="10666" w:type="dxa"/>
        <w:tblInd w:w="-572" w:type="dxa"/>
        <w:tblLook w:val="04A0" w:firstRow="1" w:lastRow="0" w:firstColumn="1" w:lastColumn="0" w:noHBand="0" w:noVBand="1"/>
      </w:tblPr>
      <w:tblGrid>
        <w:gridCol w:w="1046"/>
        <w:gridCol w:w="847"/>
        <w:gridCol w:w="986"/>
        <w:gridCol w:w="1136"/>
        <w:gridCol w:w="847"/>
        <w:gridCol w:w="1066"/>
        <w:gridCol w:w="1107"/>
        <w:gridCol w:w="847"/>
        <w:gridCol w:w="986"/>
        <w:gridCol w:w="1533"/>
        <w:gridCol w:w="847"/>
      </w:tblGrid>
      <w:tr w:rsidR="00117301" w:rsidRPr="00771906" w14:paraId="56750107" w14:textId="1768A1AF" w:rsidTr="00797FB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340" w:type="dxa"/>
            <w:shd w:val="clear" w:color="auto" w:fill="DBE5F1" w:themeFill="accent1" w:themeFillTint="33"/>
          </w:tcPr>
          <w:p w14:paraId="604BE745" w14:textId="77777777" w:rsidR="009B091B" w:rsidRPr="00771906" w:rsidRDefault="009B091B" w:rsidP="008E2963">
            <w:pPr>
              <w:jc w:val="center"/>
              <w:rPr>
                <w:color w:val="0070C0"/>
                <w:sz w:val="18"/>
                <w:szCs w:val="18"/>
                <w:lang w:val="en-GB"/>
              </w:rPr>
            </w:pPr>
            <w:bookmarkStart w:id="2" w:name="_Hlk214015585"/>
          </w:p>
        </w:tc>
        <w:tc>
          <w:tcPr>
            <w:tcW w:w="2948" w:type="dxa"/>
            <w:gridSpan w:val="3"/>
            <w:shd w:val="clear" w:color="auto" w:fill="DBE5F1" w:themeFill="accent1" w:themeFillTint="33"/>
            <w:vAlign w:val="center"/>
          </w:tcPr>
          <w:p w14:paraId="499A21B0" w14:textId="4CC5EE18" w:rsidR="009B091B" w:rsidRPr="00771906" w:rsidRDefault="009B091B" w:rsidP="008E2963">
            <w:pPr>
              <w:jc w:val="center"/>
              <w:cnfStyle w:val="100000000000" w:firstRow="1" w:lastRow="0" w:firstColumn="0" w:lastColumn="0" w:oddVBand="0" w:evenVBand="0" w:oddHBand="0" w:evenHBand="0" w:firstRowFirstColumn="0" w:firstRowLastColumn="0" w:lastRowFirstColumn="0" w:lastRowLastColumn="0"/>
              <w:rPr>
                <w:b w:val="0"/>
                <w:bCs w:val="0"/>
                <w:color w:val="0070C0"/>
                <w:sz w:val="18"/>
                <w:szCs w:val="18"/>
                <w:lang w:val="en-GB"/>
              </w:rPr>
            </w:pPr>
            <w:r w:rsidRPr="00771906">
              <w:rPr>
                <w:color w:val="0070C0"/>
                <w:sz w:val="18"/>
                <w:szCs w:val="18"/>
                <w:lang w:val="en-GB"/>
              </w:rPr>
              <w:t>2022</w:t>
            </w:r>
          </w:p>
        </w:tc>
        <w:tc>
          <w:tcPr>
            <w:tcW w:w="2998" w:type="dxa"/>
            <w:gridSpan w:val="3"/>
            <w:shd w:val="clear" w:color="auto" w:fill="DBE5F1" w:themeFill="accent1" w:themeFillTint="33"/>
            <w:vAlign w:val="center"/>
          </w:tcPr>
          <w:p w14:paraId="7FA891CC" w14:textId="2B052F2F" w:rsidR="009B091B" w:rsidRPr="00771906" w:rsidRDefault="009B091B" w:rsidP="008E2963">
            <w:pPr>
              <w:jc w:val="center"/>
              <w:cnfStyle w:val="100000000000" w:firstRow="1" w:lastRow="0" w:firstColumn="0" w:lastColumn="0" w:oddVBand="0" w:evenVBand="0" w:oddHBand="0" w:evenHBand="0" w:firstRowFirstColumn="0" w:firstRowLastColumn="0" w:lastRowFirstColumn="0" w:lastRowLastColumn="0"/>
              <w:rPr>
                <w:b w:val="0"/>
                <w:bCs w:val="0"/>
                <w:color w:val="0070C0"/>
                <w:sz w:val="18"/>
                <w:szCs w:val="18"/>
                <w:lang w:val="en-GB"/>
              </w:rPr>
            </w:pPr>
            <w:r w:rsidRPr="00771906">
              <w:rPr>
                <w:color w:val="0070C0"/>
                <w:sz w:val="18"/>
                <w:szCs w:val="18"/>
                <w:lang w:val="en-GB"/>
              </w:rPr>
              <w:t>2023</w:t>
            </w:r>
          </w:p>
        </w:tc>
        <w:tc>
          <w:tcPr>
            <w:tcW w:w="2555" w:type="dxa"/>
            <w:gridSpan w:val="3"/>
            <w:shd w:val="clear" w:color="auto" w:fill="DBE5F1" w:themeFill="accent1" w:themeFillTint="33"/>
            <w:vAlign w:val="center"/>
          </w:tcPr>
          <w:p w14:paraId="0AF35E56" w14:textId="164C40D8" w:rsidR="009B091B" w:rsidRPr="00771906" w:rsidRDefault="009B091B" w:rsidP="008E2963">
            <w:pPr>
              <w:jc w:val="center"/>
              <w:cnfStyle w:val="100000000000" w:firstRow="1" w:lastRow="0" w:firstColumn="0" w:lastColumn="0" w:oddVBand="0" w:evenVBand="0" w:oddHBand="0" w:evenHBand="0" w:firstRowFirstColumn="0" w:firstRowLastColumn="0" w:lastRowFirstColumn="0" w:lastRowLastColumn="0"/>
              <w:rPr>
                <w:color w:val="0070C0"/>
                <w:sz w:val="18"/>
                <w:szCs w:val="18"/>
                <w:lang w:val="en-GB"/>
              </w:rPr>
            </w:pPr>
            <w:r w:rsidRPr="00771906">
              <w:rPr>
                <w:color w:val="0070C0"/>
                <w:sz w:val="18"/>
                <w:szCs w:val="18"/>
                <w:lang w:val="en-GB"/>
              </w:rPr>
              <w:t>2024</w:t>
            </w:r>
          </w:p>
        </w:tc>
        <w:tc>
          <w:tcPr>
            <w:tcW w:w="825" w:type="dxa"/>
            <w:shd w:val="clear" w:color="auto" w:fill="DBE5F1" w:themeFill="accent1" w:themeFillTint="33"/>
          </w:tcPr>
          <w:p w14:paraId="0CABE8D5" w14:textId="49CDEBEF" w:rsidR="009B091B" w:rsidRPr="00771906" w:rsidRDefault="009B091B" w:rsidP="008E2963">
            <w:pPr>
              <w:jc w:val="center"/>
              <w:cnfStyle w:val="100000000000" w:firstRow="1" w:lastRow="0" w:firstColumn="0" w:lastColumn="0" w:oddVBand="0" w:evenVBand="0" w:oddHBand="0" w:evenHBand="0" w:firstRowFirstColumn="0" w:firstRowLastColumn="0" w:lastRowFirstColumn="0" w:lastRowLastColumn="0"/>
              <w:rPr>
                <w:color w:val="0070C0"/>
                <w:sz w:val="18"/>
                <w:szCs w:val="18"/>
                <w:lang w:val="en-GB"/>
              </w:rPr>
            </w:pPr>
            <w:r w:rsidRPr="00771906">
              <w:rPr>
                <w:color w:val="0070C0"/>
                <w:sz w:val="18"/>
                <w:szCs w:val="18"/>
                <w:lang w:val="en-GB"/>
              </w:rPr>
              <w:t>2025</w:t>
            </w:r>
          </w:p>
        </w:tc>
      </w:tr>
      <w:tr w:rsidR="00117301" w:rsidRPr="00B778AC" w14:paraId="3BE4E796" w14:textId="3F6A3DAE" w:rsidTr="00797FBA">
        <w:trPr>
          <w:cnfStyle w:val="100000000000" w:firstRow="1" w:lastRow="0" w:firstColumn="0" w:lastColumn="0" w:oddVBand="0" w:evenVBand="0" w:oddHBand="0" w:evenHBand="0" w:firstRowFirstColumn="0" w:firstRowLastColumn="0" w:lastRowFirstColumn="0" w:lastRowLastColumn="0"/>
          <w:cantSplit/>
          <w:trHeight w:val="844"/>
          <w:tblHeader/>
        </w:trPr>
        <w:tc>
          <w:tcPr>
            <w:cnfStyle w:val="001000000000" w:firstRow="0" w:lastRow="0" w:firstColumn="1" w:lastColumn="0" w:oddVBand="0" w:evenVBand="0" w:oddHBand="0" w:evenHBand="0" w:firstRowFirstColumn="0" w:firstRowLastColumn="0" w:lastRowFirstColumn="0" w:lastRowLastColumn="0"/>
            <w:tcW w:w="1340" w:type="dxa"/>
            <w:shd w:val="clear" w:color="auto" w:fill="DBE5F1" w:themeFill="accent1" w:themeFillTint="33"/>
            <w:vAlign w:val="center"/>
          </w:tcPr>
          <w:p w14:paraId="650CE05A" w14:textId="074C1CF0" w:rsidR="00B35B3F" w:rsidRPr="00B778AC" w:rsidRDefault="00DF582E" w:rsidP="00CF46AD">
            <w:pPr>
              <w:spacing w:after="120"/>
              <w:jc w:val="center"/>
              <w:rPr>
                <w:color w:val="0070C0"/>
                <w:sz w:val="18"/>
                <w:szCs w:val="18"/>
                <w:lang w:val="en-GB"/>
              </w:rPr>
            </w:pPr>
            <w:r w:rsidRPr="00B778AC">
              <w:rPr>
                <w:color w:val="0070C0"/>
                <w:sz w:val="18"/>
                <w:szCs w:val="18"/>
                <w:lang w:val="en-GB"/>
              </w:rPr>
              <w:t>Payment type</w:t>
            </w:r>
          </w:p>
        </w:tc>
        <w:tc>
          <w:tcPr>
            <w:tcW w:w="826" w:type="dxa"/>
            <w:shd w:val="clear" w:color="auto" w:fill="DBE5F1" w:themeFill="accent1" w:themeFillTint="33"/>
            <w:vAlign w:val="center"/>
          </w:tcPr>
          <w:p w14:paraId="0542519C" w14:textId="1CB60149" w:rsidR="00B35B3F" w:rsidRPr="00B778AC" w:rsidRDefault="00DF582E" w:rsidP="00B35B3F">
            <w:pPr>
              <w:spacing w:after="120"/>
              <w:jc w:val="center"/>
              <w:cnfStyle w:val="100000000000" w:firstRow="1" w:lastRow="0" w:firstColumn="0" w:lastColumn="0" w:oddVBand="0" w:evenVBand="0" w:oddHBand="0" w:evenHBand="0" w:firstRowFirstColumn="0" w:firstRowLastColumn="0" w:lastRowFirstColumn="0" w:lastRowLastColumn="0"/>
              <w:rPr>
                <w:color w:val="0070C0"/>
                <w:sz w:val="18"/>
                <w:szCs w:val="18"/>
                <w:lang w:val="en-GB"/>
              </w:rPr>
            </w:pPr>
            <w:r w:rsidRPr="00B778AC">
              <w:rPr>
                <w:color w:val="0070C0"/>
                <w:sz w:val="18"/>
                <w:szCs w:val="18"/>
                <w:lang w:val="en-GB"/>
              </w:rPr>
              <w:t>Planned amount</w:t>
            </w:r>
          </w:p>
        </w:tc>
        <w:tc>
          <w:tcPr>
            <w:tcW w:w="986" w:type="dxa"/>
            <w:shd w:val="clear" w:color="auto" w:fill="DBE5F1" w:themeFill="accent1" w:themeFillTint="33"/>
            <w:vAlign w:val="center"/>
          </w:tcPr>
          <w:p w14:paraId="5C417C20" w14:textId="51C6728E" w:rsidR="00B35B3F" w:rsidRPr="00B778AC" w:rsidRDefault="00DF582E" w:rsidP="00B35B3F">
            <w:pPr>
              <w:spacing w:after="120"/>
              <w:jc w:val="center"/>
              <w:cnfStyle w:val="100000000000" w:firstRow="1" w:lastRow="0" w:firstColumn="0" w:lastColumn="0" w:oddVBand="0" w:evenVBand="0" w:oddHBand="0" w:evenHBand="0" w:firstRowFirstColumn="0" w:firstRowLastColumn="0" w:lastRowFirstColumn="0" w:lastRowLastColumn="0"/>
              <w:rPr>
                <w:color w:val="0070C0"/>
                <w:sz w:val="18"/>
                <w:szCs w:val="18"/>
                <w:lang w:val="en-GB"/>
              </w:rPr>
            </w:pPr>
            <w:r w:rsidRPr="00B778AC">
              <w:rPr>
                <w:color w:val="0070C0"/>
                <w:sz w:val="18"/>
                <w:szCs w:val="18"/>
                <w:lang w:val="en-GB"/>
              </w:rPr>
              <w:t>Actual amount</w:t>
            </w:r>
          </w:p>
        </w:tc>
        <w:tc>
          <w:tcPr>
            <w:tcW w:w="1136" w:type="dxa"/>
            <w:shd w:val="clear" w:color="auto" w:fill="DBE5F1" w:themeFill="accent1" w:themeFillTint="33"/>
            <w:vAlign w:val="center"/>
          </w:tcPr>
          <w:p w14:paraId="5E884B09" w14:textId="263164AC" w:rsidR="00B35B3F" w:rsidRPr="00B778AC" w:rsidRDefault="00DF582E" w:rsidP="00B35B3F">
            <w:pPr>
              <w:spacing w:after="120"/>
              <w:jc w:val="center"/>
              <w:cnfStyle w:val="100000000000" w:firstRow="1" w:lastRow="0" w:firstColumn="0" w:lastColumn="0" w:oddVBand="0" w:evenVBand="0" w:oddHBand="0" w:evenHBand="0" w:firstRowFirstColumn="0" w:firstRowLastColumn="0" w:lastRowFirstColumn="0" w:lastRowLastColumn="0"/>
              <w:rPr>
                <w:color w:val="0070C0"/>
                <w:sz w:val="18"/>
                <w:szCs w:val="18"/>
                <w:lang w:val="en-GB"/>
              </w:rPr>
            </w:pPr>
            <w:r w:rsidRPr="00B778AC">
              <w:rPr>
                <w:color w:val="0070C0"/>
                <w:sz w:val="18"/>
                <w:szCs w:val="18"/>
                <w:lang w:val="en-GB"/>
              </w:rPr>
              <w:t xml:space="preserve">Actual </w:t>
            </w:r>
            <w:r w:rsidR="00117301" w:rsidRPr="00B778AC">
              <w:rPr>
                <w:color w:val="0070C0"/>
                <w:sz w:val="18"/>
                <w:szCs w:val="18"/>
                <w:lang w:val="en-GB"/>
              </w:rPr>
              <w:t xml:space="preserve">net </w:t>
            </w:r>
            <w:r w:rsidRPr="00B778AC">
              <w:rPr>
                <w:color w:val="0070C0"/>
                <w:sz w:val="18"/>
                <w:szCs w:val="18"/>
                <w:lang w:val="en-GB"/>
              </w:rPr>
              <w:t>profit</w:t>
            </w:r>
            <w:r w:rsidR="00B35B3F" w:rsidRPr="00B778AC">
              <w:rPr>
                <w:color w:val="0070C0"/>
                <w:sz w:val="18"/>
                <w:szCs w:val="18"/>
                <w:lang w:val="en-GB"/>
              </w:rPr>
              <w:t>, EUR</w:t>
            </w:r>
          </w:p>
        </w:tc>
        <w:tc>
          <w:tcPr>
            <w:tcW w:w="825" w:type="dxa"/>
            <w:tcBorders>
              <w:right w:val="nil"/>
            </w:tcBorders>
            <w:shd w:val="clear" w:color="auto" w:fill="DBE5F1" w:themeFill="accent1" w:themeFillTint="33"/>
            <w:vAlign w:val="center"/>
          </w:tcPr>
          <w:p w14:paraId="0500FFDD" w14:textId="67741F16" w:rsidR="00B35B3F" w:rsidRPr="00B778AC" w:rsidRDefault="00DF582E" w:rsidP="00B35B3F">
            <w:pPr>
              <w:spacing w:after="120"/>
              <w:jc w:val="center"/>
              <w:cnfStyle w:val="100000000000" w:firstRow="1" w:lastRow="0" w:firstColumn="0" w:lastColumn="0" w:oddVBand="0" w:evenVBand="0" w:oddHBand="0" w:evenHBand="0" w:firstRowFirstColumn="0" w:firstRowLastColumn="0" w:lastRowFirstColumn="0" w:lastRowLastColumn="0"/>
              <w:rPr>
                <w:color w:val="0070C0"/>
                <w:sz w:val="18"/>
                <w:szCs w:val="18"/>
                <w:lang w:val="en-GB"/>
              </w:rPr>
            </w:pPr>
            <w:r w:rsidRPr="00B778AC">
              <w:rPr>
                <w:color w:val="0070C0"/>
                <w:sz w:val="18"/>
                <w:szCs w:val="18"/>
                <w:lang w:val="en-GB"/>
              </w:rPr>
              <w:t>Planned amount</w:t>
            </w:r>
          </w:p>
        </w:tc>
        <w:tc>
          <w:tcPr>
            <w:tcW w:w="1066" w:type="dxa"/>
            <w:shd w:val="clear" w:color="auto" w:fill="DBE5F1" w:themeFill="accent1" w:themeFillTint="33"/>
            <w:vAlign w:val="center"/>
          </w:tcPr>
          <w:p w14:paraId="10433AC7" w14:textId="48C02F70" w:rsidR="00B35B3F" w:rsidRPr="00B778AC" w:rsidRDefault="00DF582E" w:rsidP="00B35B3F">
            <w:pPr>
              <w:spacing w:after="120"/>
              <w:jc w:val="center"/>
              <w:cnfStyle w:val="100000000000" w:firstRow="1" w:lastRow="0" w:firstColumn="0" w:lastColumn="0" w:oddVBand="0" w:evenVBand="0" w:oddHBand="0" w:evenHBand="0" w:firstRowFirstColumn="0" w:firstRowLastColumn="0" w:lastRowFirstColumn="0" w:lastRowLastColumn="0"/>
              <w:rPr>
                <w:color w:val="0070C0"/>
                <w:sz w:val="18"/>
                <w:szCs w:val="18"/>
                <w:lang w:val="en-GB"/>
              </w:rPr>
            </w:pPr>
            <w:r w:rsidRPr="00B778AC">
              <w:rPr>
                <w:color w:val="0070C0"/>
                <w:sz w:val="18"/>
                <w:szCs w:val="18"/>
                <w:lang w:val="en-GB"/>
              </w:rPr>
              <w:t>Actual amount</w:t>
            </w:r>
          </w:p>
        </w:tc>
        <w:tc>
          <w:tcPr>
            <w:tcW w:w="1107" w:type="dxa"/>
            <w:shd w:val="clear" w:color="auto" w:fill="DBE5F1" w:themeFill="accent1" w:themeFillTint="33"/>
            <w:vAlign w:val="center"/>
          </w:tcPr>
          <w:p w14:paraId="7E329EBC" w14:textId="066ABB92" w:rsidR="00B35B3F" w:rsidRPr="00B778AC" w:rsidRDefault="00DF582E" w:rsidP="00B35B3F">
            <w:pPr>
              <w:spacing w:after="120"/>
              <w:jc w:val="center"/>
              <w:cnfStyle w:val="100000000000" w:firstRow="1" w:lastRow="0" w:firstColumn="0" w:lastColumn="0" w:oddVBand="0" w:evenVBand="0" w:oddHBand="0" w:evenHBand="0" w:firstRowFirstColumn="0" w:firstRowLastColumn="0" w:lastRowFirstColumn="0" w:lastRowLastColumn="0"/>
              <w:rPr>
                <w:color w:val="0070C0"/>
                <w:sz w:val="18"/>
                <w:szCs w:val="18"/>
                <w:lang w:val="en-GB"/>
              </w:rPr>
            </w:pPr>
            <w:r w:rsidRPr="00B778AC">
              <w:rPr>
                <w:color w:val="0070C0"/>
                <w:sz w:val="18"/>
                <w:szCs w:val="18"/>
                <w:lang w:val="en-GB"/>
              </w:rPr>
              <w:t xml:space="preserve">Actual </w:t>
            </w:r>
            <w:r w:rsidR="00117301" w:rsidRPr="00B778AC">
              <w:rPr>
                <w:color w:val="0070C0"/>
                <w:sz w:val="18"/>
                <w:szCs w:val="18"/>
                <w:lang w:val="en-GB"/>
              </w:rPr>
              <w:t xml:space="preserve">net </w:t>
            </w:r>
            <w:r w:rsidRPr="00B778AC">
              <w:rPr>
                <w:color w:val="0070C0"/>
                <w:sz w:val="18"/>
                <w:szCs w:val="18"/>
                <w:lang w:val="en-GB"/>
              </w:rPr>
              <w:t>profit</w:t>
            </w:r>
            <w:r w:rsidR="00B35B3F" w:rsidRPr="00B778AC">
              <w:rPr>
                <w:color w:val="0070C0"/>
                <w:sz w:val="18"/>
                <w:szCs w:val="18"/>
                <w:lang w:val="en-GB"/>
              </w:rPr>
              <w:t>, EUR</w:t>
            </w:r>
          </w:p>
        </w:tc>
        <w:tc>
          <w:tcPr>
            <w:tcW w:w="825" w:type="dxa"/>
            <w:shd w:val="clear" w:color="auto" w:fill="DBE5F1" w:themeFill="accent1" w:themeFillTint="33"/>
            <w:vAlign w:val="center"/>
          </w:tcPr>
          <w:p w14:paraId="77008635" w14:textId="6C01E043" w:rsidR="00B35B3F" w:rsidRPr="00B778AC" w:rsidRDefault="00DF582E" w:rsidP="00B35B3F">
            <w:pPr>
              <w:spacing w:after="120"/>
              <w:jc w:val="center"/>
              <w:cnfStyle w:val="100000000000" w:firstRow="1" w:lastRow="0" w:firstColumn="0" w:lastColumn="0" w:oddVBand="0" w:evenVBand="0" w:oddHBand="0" w:evenHBand="0" w:firstRowFirstColumn="0" w:firstRowLastColumn="0" w:lastRowFirstColumn="0" w:lastRowLastColumn="0"/>
              <w:rPr>
                <w:color w:val="0070C0"/>
                <w:sz w:val="18"/>
                <w:szCs w:val="18"/>
                <w:lang w:val="en-GB"/>
              </w:rPr>
            </w:pPr>
            <w:r w:rsidRPr="00B778AC">
              <w:rPr>
                <w:color w:val="0070C0"/>
                <w:sz w:val="18"/>
                <w:szCs w:val="18"/>
                <w:lang w:val="en-GB"/>
              </w:rPr>
              <w:t>Planned amount</w:t>
            </w:r>
          </w:p>
        </w:tc>
        <w:tc>
          <w:tcPr>
            <w:tcW w:w="986" w:type="dxa"/>
            <w:tcBorders>
              <w:left w:val="nil"/>
            </w:tcBorders>
            <w:shd w:val="clear" w:color="auto" w:fill="DBE5F1" w:themeFill="accent1" w:themeFillTint="33"/>
            <w:vAlign w:val="center"/>
          </w:tcPr>
          <w:p w14:paraId="126472F7" w14:textId="70041122" w:rsidR="00B35B3F" w:rsidRPr="00B778AC" w:rsidRDefault="00DF582E" w:rsidP="00B35B3F">
            <w:pPr>
              <w:spacing w:after="120"/>
              <w:jc w:val="center"/>
              <w:cnfStyle w:val="100000000000" w:firstRow="1" w:lastRow="0" w:firstColumn="0" w:lastColumn="0" w:oddVBand="0" w:evenVBand="0" w:oddHBand="0" w:evenHBand="0" w:firstRowFirstColumn="0" w:firstRowLastColumn="0" w:lastRowFirstColumn="0" w:lastRowLastColumn="0"/>
              <w:rPr>
                <w:color w:val="0070C0"/>
                <w:sz w:val="18"/>
                <w:szCs w:val="18"/>
                <w:lang w:val="en-GB"/>
              </w:rPr>
            </w:pPr>
            <w:r w:rsidRPr="00B778AC">
              <w:rPr>
                <w:color w:val="0070C0"/>
                <w:sz w:val="18"/>
                <w:szCs w:val="18"/>
                <w:lang w:val="en-GB"/>
              </w:rPr>
              <w:t>Actual amount</w:t>
            </w:r>
          </w:p>
        </w:tc>
        <w:tc>
          <w:tcPr>
            <w:tcW w:w="744" w:type="dxa"/>
            <w:shd w:val="clear" w:color="auto" w:fill="DBE5F1" w:themeFill="accent1" w:themeFillTint="33"/>
            <w:vAlign w:val="center"/>
          </w:tcPr>
          <w:p w14:paraId="2DB373C2" w14:textId="3DA6B7D6" w:rsidR="00B35B3F" w:rsidRPr="00B778AC" w:rsidRDefault="00DF582E" w:rsidP="00B35B3F">
            <w:pPr>
              <w:spacing w:after="120"/>
              <w:jc w:val="center"/>
              <w:cnfStyle w:val="100000000000" w:firstRow="1" w:lastRow="0" w:firstColumn="0" w:lastColumn="0" w:oddVBand="0" w:evenVBand="0" w:oddHBand="0" w:evenHBand="0" w:firstRowFirstColumn="0" w:firstRowLastColumn="0" w:lastRowFirstColumn="0" w:lastRowLastColumn="0"/>
              <w:rPr>
                <w:color w:val="0070C0"/>
                <w:sz w:val="18"/>
                <w:szCs w:val="18"/>
                <w:lang w:val="en-GB"/>
              </w:rPr>
            </w:pPr>
            <w:r w:rsidRPr="00B778AC">
              <w:rPr>
                <w:color w:val="0070C0"/>
                <w:sz w:val="18"/>
                <w:szCs w:val="18"/>
                <w:lang w:val="en-GB"/>
              </w:rPr>
              <w:t xml:space="preserve">Actual </w:t>
            </w:r>
            <w:r w:rsidR="00117301" w:rsidRPr="00B778AC">
              <w:rPr>
                <w:color w:val="0070C0"/>
                <w:sz w:val="18"/>
                <w:szCs w:val="18"/>
                <w:lang w:val="en-GB"/>
              </w:rPr>
              <w:t xml:space="preserve">net </w:t>
            </w:r>
            <w:r w:rsidRPr="00B778AC">
              <w:rPr>
                <w:color w:val="0070C0"/>
                <w:sz w:val="18"/>
                <w:szCs w:val="18"/>
                <w:lang w:val="en-GB"/>
              </w:rPr>
              <w:t>profit</w:t>
            </w:r>
            <w:r w:rsidR="00B35B3F" w:rsidRPr="00B778AC">
              <w:rPr>
                <w:color w:val="0070C0"/>
                <w:sz w:val="18"/>
                <w:szCs w:val="18"/>
                <w:lang w:val="en-GB"/>
              </w:rPr>
              <w:t>, EUR</w:t>
            </w:r>
          </w:p>
        </w:tc>
        <w:tc>
          <w:tcPr>
            <w:tcW w:w="825" w:type="dxa"/>
            <w:tcBorders>
              <w:top w:val="single" w:sz="4" w:space="0" w:color="B8CCE4" w:themeColor="accent1" w:themeTint="66"/>
            </w:tcBorders>
            <w:shd w:val="clear" w:color="auto" w:fill="DBE5F1" w:themeFill="accent1" w:themeFillTint="33"/>
            <w:vAlign w:val="center"/>
          </w:tcPr>
          <w:p w14:paraId="26103DAD" w14:textId="02B1BD18" w:rsidR="00B35B3F" w:rsidRPr="00B778AC" w:rsidRDefault="00DF582E" w:rsidP="00B35B3F">
            <w:pPr>
              <w:spacing w:after="120"/>
              <w:jc w:val="center"/>
              <w:cnfStyle w:val="100000000000" w:firstRow="1" w:lastRow="0" w:firstColumn="0" w:lastColumn="0" w:oddVBand="0" w:evenVBand="0" w:oddHBand="0" w:evenHBand="0" w:firstRowFirstColumn="0" w:firstRowLastColumn="0" w:lastRowFirstColumn="0" w:lastRowLastColumn="0"/>
              <w:rPr>
                <w:color w:val="0070C0"/>
                <w:sz w:val="18"/>
                <w:szCs w:val="18"/>
                <w:lang w:val="en-GB"/>
              </w:rPr>
            </w:pPr>
            <w:r w:rsidRPr="00B778AC">
              <w:rPr>
                <w:color w:val="0070C0"/>
                <w:sz w:val="18"/>
                <w:szCs w:val="18"/>
                <w:lang w:val="en-GB"/>
              </w:rPr>
              <w:t>Planned amount</w:t>
            </w:r>
          </w:p>
        </w:tc>
      </w:tr>
      <w:tr w:rsidR="00EF235A" w:rsidRPr="00B778AC" w14:paraId="363407EE" w14:textId="7BE221BF" w:rsidTr="00EF235A">
        <w:tc>
          <w:tcPr>
            <w:cnfStyle w:val="001000000000" w:firstRow="0" w:lastRow="0" w:firstColumn="1" w:lastColumn="0" w:oddVBand="0" w:evenVBand="0" w:oddHBand="0" w:evenHBand="0" w:firstRowFirstColumn="0" w:firstRowLastColumn="0" w:lastRowFirstColumn="0" w:lastRowLastColumn="0"/>
            <w:tcW w:w="1340" w:type="dxa"/>
            <w:shd w:val="clear" w:color="auto" w:fill="FFFFFF" w:themeFill="background1"/>
          </w:tcPr>
          <w:p w14:paraId="5853B083" w14:textId="747B9916" w:rsidR="00EF235A" w:rsidRPr="00B778AC" w:rsidRDefault="00EF235A" w:rsidP="00EF235A">
            <w:pPr>
              <w:spacing w:after="120"/>
              <w:rPr>
                <w:b w:val="0"/>
                <w:bCs w:val="0"/>
                <w:color w:val="0070C0"/>
                <w:sz w:val="18"/>
                <w:szCs w:val="18"/>
                <w:lang w:val="en-GB"/>
              </w:rPr>
            </w:pPr>
            <w:r w:rsidRPr="00B778AC">
              <w:rPr>
                <w:b w:val="0"/>
                <w:bCs w:val="0"/>
                <w:color w:val="0070C0"/>
                <w:sz w:val="18"/>
                <w:szCs w:val="18"/>
                <w:lang w:val="en-GB"/>
              </w:rPr>
              <w:t>Dividends (e.g., % from the sum of net profit EUR etc.)</w:t>
            </w:r>
          </w:p>
        </w:tc>
        <w:tc>
          <w:tcPr>
            <w:tcW w:w="826" w:type="dxa"/>
            <w:shd w:val="clear" w:color="auto" w:fill="FFFFFF" w:themeFill="background1"/>
            <w:vAlign w:val="center"/>
          </w:tcPr>
          <w:p w14:paraId="3AF135C9" w14:textId="03696B1D" w:rsidR="00EF235A" w:rsidRPr="00B778AC" w:rsidRDefault="00EF235A" w:rsidP="00EF235A">
            <w:pPr>
              <w:spacing w:after="120"/>
              <w:jc w:val="center"/>
              <w:cnfStyle w:val="000000000000" w:firstRow="0" w:lastRow="0" w:firstColumn="0" w:lastColumn="0" w:oddVBand="0" w:evenVBand="0" w:oddHBand="0" w:evenHBand="0" w:firstRowFirstColumn="0" w:firstRowLastColumn="0" w:lastRowFirstColumn="0" w:lastRowLastColumn="0"/>
              <w:rPr>
                <w:b/>
                <w:bCs/>
                <w:color w:val="0070C0"/>
                <w:sz w:val="18"/>
                <w:szCs w:val="18"/>
                <w:lang w:val="en-GB"/>
              </w:rPr>
            </w:pPr>
          </w:p>
        </w:tc>
        <w:tc>
          <w:tcPr>
            <w:tcW w:w="986" w:type="dxa"/>
            <w:shd w:val="clear" w:color="auto" w:fill="FFFFFF" w:themeFill="background1"/>
            <w:vAlign w:val="center"/>
          </w:tcPr>
          <w:p w14:paraId="52A939B5" w14:textId="7BDA6CF0" w:rsidR="00EF235A" w:rsidRPr="00B778AC" w:rsidRDefault="00EF235A" w:rsidP="00EF235A">
            <w:pPr>
              <w:spacing w:after="120"/>
              <w:jc w:val="center"/>
              <w:cnfStyle w:val="000000000000" w:firstRow="0" w:lastRow="0" w:firstColumn="0" w:lastColumn="0" w:oddVBand="0" w:evenVBand="0" w:oddHBand="0" w:evenHBand="0" w:firstRowFirstColumn="0" w:firstRowLastColumn="0" w:lastRowFirstColumn="0" w:lastRowLastColumn="0"/>
              <w:rPr>
                <w:b/>
                <w:bCs/>
                <w:color w:val="0070C0"/>
                <w:sz w:val="18"/>
                <w:szCs w:val="18"/>
                <w:lang w:val="en-GB"/>
              </w:rPr>
            </w:pPr>
            <w:r w:rsidRPr="00B778AC">
              <w:rPr>
                <w:rFonts w:cs="Times New Roman"/>
                <w:color w:val="0070C0"/>
                <w:sz w:val="16"/>
                <w:szCs w:val="16"/>
                <w:lang w:val="en-GB"/>
              </w:rPr>
              <w:t>75 040 000</w:t>
            </w:r>
            <w:r w:rsidRPr="00B778AC">
              <w:rPr>
                <w:rStyle w:val="FootnoteReference"/>
                <w:rFonts w:cs="Times New Roman"/>
                <w:color w:val="0070C0"/>
                <w:sz w:val="16"/>
                <w:szCs w:val="16"/>
                <w:lang w:val="en-GB"/>
              </w:rPr>
              <w:footnoteReference w:id="4"/>
            </w:r>
          </w:p>
        </w:tc>
        <w:tc>
          <w:tcPr>
            <w:tcW w:w="1136" w:type="dxa"/>
            <w:vMerge w:val="restart"/>
            <w:shd w:val="clear" w:color="auto" w:fill="FFFFFF" w:themeFill="background1"/>
          </w:tcPr>
          <w:p w14:paraId="28D0AD90" w14:textId="77777777" w:rsidR="00EF235A" w:rsidRPr="00B778AC" w:rsidRDefault="00EF235A" w:rsidP="00EF235A">
            <w:pPr>
              <w:spacing w:after="120"/>
              <w:jc w:val="center"/>
              <w:cnfStyle w:val="000000000000" w:firstRow="0" w:lastRow="0" w:firstColumn="0" w:lastColumn="0" w:oddVBand="0" w:evenVBand="0" w:oddHBand="0" w:evenHBand="0" w:firstRowFirstColumn="0" w:firstRowLastColumn="0" w:lastRowFirstColumn="0" w:lastRowLastColumn="0"/>
              <w:rPr>
                <w:rFonts w:cs="Times New Roman"/>
                <w:color w:val="0070C0"/>
                <w:sz w:val="16"/>
                <w:szCs w:val="16"/>
                <w:lang w:val="en-GB"/>
              </w:rPr>
            </w:pPr>
            <w:r w:rsidRPr="00B778AC">
              <w:rPr>
                <w:rFonts w:cs="Times New Roman"/>
                <w:color w:val="0070C0"/>
                <w:sz w:val="16"/>
                <w:szCs w:val="16"/>
                <w:lang w:val="en-GB"/>
              </w:rPr>
              <w:t>Net profit: 138 352 000</w:t>
            </w:r>
          </w:p>
          <w:p w14:paraId="689F3E62" w14:textId="77777777" w:rsidR="00EF235A" w:rsidRPr="00B778AC" w:rsidRDefault="00EF235A" w:rsidP="00EF235A">
            <w:pPr>
              <w:spacing w:after="120"/>
              <w:jc w:val="center"/>
              <w:cnfStyle w:val="000000000000" w:firstRow="0" w:lastRow="0" w:firstColumn="0" w:lastColumn="0" w:oddVBand="0" w:evenVBand="0" w:oddHBand="0" w:evenHBand="0" w:firstRowFirstColumn="0" w:firstRowLastColumn="0" w:lastRowFirstColumn="0" w:lastRowLastColumn="0"/>
              <w:rPr>
                <w:rFonts w:cs="Times New Roman"/>
                <w:color w:val="0070C0"/>
                <w:sz w:val="16"/>
                <w:szCs w:val="16"/>
                <w:lang w:val="en-GB"/>
              </w:rPr>
            </w:pPr>
            <w:r w:rsidRPr="00B778AC">
              <w:rPr>
                <w:rFonts w:cs="Times New Roman"/>
                <w:color w:val="0070C0"/>
                <w:sz w:val="16"/>
                <w:szCs w:val="16"/>
                <w:lang w:val="en-GB"/>
              </w:rPr>
              <w:t>Revaluation of biological assets +</w:t>
            </w:r>
            <w:r w:rsidRPr="00B778AC">
              <w:rPr>
                <w:rFonts w:cs="Times New Roman"/>
                <w:sz w:val="16"/>
                <w:szCs w:val="16"/>
                <w:lang w:val="en-GB"/>
              </w:rPr>
              <w:t xml:space="preserve"> </w:t>
            </w:r>
            <w:r w:rsidRPr="00B778AC">
              <w:rPr>
                <w:rFonts w:cs="Times New Roman"/>
                <w:color w:val="0070C0"/>
                <w:sz w:val="16"/>
                <w:szCs w:val="16"/>
                <w:lang w:val="en-GB"/>
              </w:rPr>
              <w:t>1 258 283 000</w:t>
            </w:r>
          </w:p>
          <w:p w14:paraId="4117BEDA" w14:textId="402923F9" w:rsidR="00EF235A" w:rsidRPr="00B778AC" w:rsidRDefault="00EF235A" w:rsidP="00EF235A">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roofErr w:type="gramStart"/>
            <w:r w:rsidRPr="00B778AC">
              <w:rPr>
                <w:rFonts w:cs="Times New Roman"/>
                <w:color w:val="0070C0"/>
                <w:sz w:val="16"/>
                <w:szCs w:val="16"/>
                <w:lang w:val="en-GB"/>
              </w:rPr>
              <w:t>Final result</w:t>
            </w:r>
            <w:proofErr w:type="gramEnd"/>
            <w:r w:rsidRPr="00B778AC">
              <w:rPr>
                <w:rFonts w:cs="Times New Roman"/>
                <w:color w:val="0070C0"/>
                <w:sz w:val="16"/>
                <w:szCs w:val="16"/>
                <w:lang w:val="en-GB"/>
              </w:rPr>
              <w:t xml:space="preserve"> for the reporting year with revaluation of biological </w:t>
            </w:r>
            <w:r w:rsidRPr="00B778AC">
              <w:rPr>
                <w:rFonts w:cs="Times New Roman"/>
                <w:color w:val="0070C0"/>
                <w:sz w:val="16"/>
                <w:szCs w:val="16"/>
                <w:lang w:val="en-GB"/>
              </w:rPr>
              <w:lastRenderedPageBreak/>
              <w:t>assets 1 396 635 000</w:t>
            </w:r>
          </w:p>
        </w:tc>
        <w:tc>
          <w:tcPr>
            <w:tcW w:w="825" w:type="dxa"/>
            <w:vAlign w:val="center"/>
          </w:tcPr>
          <w:p w14:paraId="06CB439B" w14:textId="56A5662C" w:rsidR="00EF235A" w:rsidRPr="00B778AC" w:rsidRDefault="00EF235A" w:rsidP="00EF235A">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1066" w:type="dxa"/>
            <w:shd w:val="clear" w:color="auto" w:fill="FFFFFF" w:themeFill="background1"/>
            <w:vAlign w:val="center"/>
          </w:tcPr>
          <w:p w14:paraId="59D71D40" w14:textId="0674C1C9" w:rsidR="00EF235A" w:rsidRPr="00B778AC" w:rsidRDefault="00EF235A" w:rsidP="00EF235A">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r w:rsidRPr="00B778AC">
              <w:rPr>
                <w:rFonts w:cs="Times New Roman"/>
                <w:color w:val="0070C0"/>
                <w:sz w:val="16"/>
                <w:szCs w:val="16"/>
                <w:lang w:val="en-GB"/>
              </w:rPr>
              <w:t>119 600 000</w:t>
            </w:r>
            <w:r w:rsidRPr="00B778AC">
              <w:rPr>
                <w:rStyle w:val="FootnoteReference"/>
                <w:rFonts w:cs="Times New Roman"/>
                <w:color w:val="0070C0"/>
                <w:sz w:val="16"/>
                <w:szCs w:val="16"/>
                <w:lang w:val="en-GB"/>
              </w:rPr>
              <w:footnoteReference w:id="5"/>
            </w:r>
          </w:p>
        </w:tc>
        <w:tc>
          <w:tcPr>
            <w:tcW w:w="1107" w:type="dxa"/>
            <w:vMerge w:val="restart"/>
            <w:shd w:val="clear" w:color="auto" w:fill="FFFFFF" w:themeFill="background1"/>
          </w:tcPr>
          <w:p w14:paraId="3E4763E2" w14:textId="77777777" w:rsidR="00EF235A" w:rsidRPr="00B778AC" w:rsidRDefault="00EF235A" w:rsidP="00EF235A">
            <w:pPr>
              <w:spacing w:after="120"/>
              <w:jc w:val="center"/>
              <w:cnfStyle w:val="000000000000" w:firstRow="0" w:lastRow="0" w:firstColumn="0" w:lastColumn="0" w:oddVBand="0" w:evenVBand="0" w:oddHBand="0" w:evenHBand="0" w:firstRowFirstColumn="0" w:firstRowLastColumn="0" w:lastRowFirstColumn="0" w:lastRowLastColumn="0"/>
              <w:rPr>
                <w:rFonts w:cs="Times New Roman"/>
                <w:color w:val="0070C0"/>
                <w:sz w:val="16"/>
                <w:szCs w:val="16"/>
                <w:lang w:val="en-GB"/>
              </w:rPr>
            </w:pPr>
            <w:r w:rsidRPr="00B778AC">
              <w:rPr>
                <w:rFonts w:cs="Times New Roman"/>
                <w:color w:val="0070C0"/>
                <w:sz w:val="16"/>
                <w:szCs w:val="16"/>
                <w:lang w:val="en-GB"/>
              </w:rPr>
              <w:t>Net profit: 119 646 000</w:t>
            </w:r>
          </w:p>
          <w:p w14:paraId="53CFAC78" w14:textId="77777777" w:rsidR="00EF235A" w:rsidRPr="00B778AC" w:rsidRDefault="00EF235A" w:rsidP="00EF235A">
            <w:pPr>
              <w:spacing w:after="120"/>
              <w:jc w:val="center"/>
              <w:cnfStyle w:val="000000000000" w:firstRow="0" w:lastRow="0" w:firstColumn="0" w:lastColumn="0" w:oddVBand="0" w:evenVBand="0" w:oddHBand="0" w:evenHBand="0" w:firstRowFirstColumn="0" w:firstRowLastColumn="0" w:lastRowFirstColumn="0" w:lastRowLastColumn="0"/>
              <w:rPr>
                <w:rFonts w:cs="Times New Roman"/>
                <w:color w:val="0070C0"/>
                <w:sz w:val="16"/>
                <w:szCs w:val="16"/>
                <w:lang w:val="en-GB"/>
              </w:rPr>
            </w:pPr>
            <w:r w:rsidRPr="00B778AC">
              <w:rPr>
                <w:rFonts w:cs="Times New Roman"/>
                <w:color w:val="0070C0"/>
                <w:sz w:val="16"/>
                <w:szCs w:val="16"/>
                <w:lang w:val="en-GB"/>
              </w:rPr>
              <w:t>Revaluation of biological assets +258 962 000</w:t>
            </w:r>
          </w:p>
          <w:p w14:paraId="2C8A009C" w14:textId="6118497D" w:rsidR="00EF235A" w:rsidRPr="00B778AC" w:rsidRDefault="00EF235A" w:rsidP="00EF235A">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roofErr w:type="gramStart"/>
            <w:r w:rsidRPr="00B778AC">
              <w:rPr>
                <w:rFonts w:cs="Times New Roman"/>
                <w:color w:val="0070C0"/>
                <w:sz w:val="16"/>
                <w:szCs w:val="16"/>
                <w:lang w:val="en-GB"/>
              </w:rPr>
              <w:t>Final result</w:t>
            </w:r>
            <w:proofErr w:type="gramEnd"/>
            <w:r w:rsidRPr="00B778AC">
              <w:rPr>
                <w:rFonts w:cs="Times New Roman"/>
                <w:color w:val="0070C0"/>
                <w:sz w:val="16"/>
                <w:szCs w:val="16"/>
                <w:lang w:val="en-GB"/>
              </w:rPr>
              <w:t xml:space="preserve"> for the reporting year with revaluation of biological </w:t>
            </w:r>
            <w:r w:rsidRPr="00B778AC">
              <w:rPr>
                <w:rFonts w:cs="Times New Roman"/>
                <w:color w:val="0070C0"/>
                <w:sz w:val="16"/>
                <w:szCs w:val="16"/>
                <w:lang w:val="en-GB"/>
              </w:rPr>
              <w:lastRenderedPageBreak/>
              <w:t>assets 378 608 000</w:t>
            </w:r>
            <w:r w:rsidRPr="00B778AC">
              <w:rPr>
                <w:rStyle w:val="FootnoteReference"/>
                <w:rFonts w:cs="Times New Roman"/>
                <w:color w:val="0070C0"/>
                <w:sz w:val="16"/>
                <w:szCs w:val="16"/>
                <w:lang w:val="en-GB"/>
              </w:rPr>
              <w:footnoteReference w:id="6"/>
            </w:r>
          </w:p>
        </w:tc>
        <w:tc>
          <w:tcPr>
            <w:tcW w:w="825" w:type="dxa"/>
            <w:shd w:val="clear" w:color="auto" w:fill="FFFFFF" w:themeFill="background1"/>
            <w:vAlign w:val="center"/>
          </w:tcPr>
          <w:p w14:paraId="45462AC7" w14:textId="791B2702" w:rsidR="00EF235A" w:rsidRPr="00B778AC" w:rsidRDefault="00EF235A" w:rsidP="00EF235A">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986" w:type="dxa"/>
            <w:shd w:val="clear" w:color="auto" w:fill="FFFFFF" w:themeFill="background1"/>
            <w:vAlign w:val="center"/>
          </w:tcPr>
          <w:p w14:paraId="3EED568B" w14:textId="7EDF567A" w:rsidR="00EF235A" w:rsidRPr="00B778AC" w:rsidRDefault="00EF235A" w:rsidP="00EF235A">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r w:rsidRPr="00B778AC">
              <w:rPr>
                <w:rFonts w:cs="Times New Roman"/>
                <w:color w:val="0070C0"/>
                <w:sz w:val="16"/>
                <w:szCs w:val="16"/>
                <w:lang w:val="en-GB"/>
              </w:rPr>
              <w:t>35 482 000</w:t>
            </w:r>
            <w:r w:rsidRPr="00B778AC">
              <w:rPr>
                <w:rStyle w:val="FootnoteReference"/>
                <w:rFonts w:cs="Times New Roman"/>
                <w:color w:val="0070C0"/>
                <w:sz w:val="16"/>
                <w:szCs w:val="16"/>
                <w:lang w:val="en-GB"/>
              </w:rPr>
              <w:footnoteReference w:id="7"/>
            </w:r>
          </w:p>
        </w:tc>
        <w:tc>
          <w:tcPr>
            <w:tcW w:w="744" w:type="dxa"/>
            <w:vMerge w:val="restart"/>
            <w:shd w:val="clear" w:color="auto" w:fill="FFFFFF" w:themeFill="background1"/>
          </w:tcPr>
          <w:p w14:paraId="66AFA020" w14:textId="77777777" w:rsidR="00EF235A" w:rsidRPr="00B778AC" w:rsidRDefault="00EF235A" w:rsidP="00EF235A">
            <w:pPr>
              <w:spacing w:after="120"/>
              <w:jc w:val="center"/>
              <w:cnfStyle w:val="000000000000" w:firstRow="0" w:lastRow="0" w:firstColumn="0" w:lastColumn="0" w:oddVBand="0" w:evenVBand="0" w:oddHBand="0" w:evenHBand="0" w:firstRowFirstColumn="0" w:firstRowLastColumn="0" w:lastRowFirstColumn="0" w:lastRowLastColumn="0"/>
              <w:rPr>
                <w:rFonts w:cs="Times New Roman"/>
                <w:color w:val="0070C0"/>
                <w:sz w:val="16"/>
                <w:szCs w:val="16"/>
                <w:lang w:val="en-GB"/>
              </w:rPr>
            </w:pPr>
            <w:r w:rsidRPr="00B778AC">
              <w:rPr>
                <w:rFonts w:cs="Times New Roman"/>
                <w:color w:val="0070C0"/>
                <w:sz w:val="16"/>
                <w:szCs w:val="16"/>
                <w:lang w:val="en-GB"/>
              </w:rPr>
              <w:t xml:space="preserve">Net profit: 57 426 000 </w:t>
            </w:r>
          </w:p>
          <w:p w14:paraId="7A9EE8AD" w14:textId="77777777" w:rsidR="00EF235A" w:rsidRPr="00B778AC" w:rsidRDefault="00EF235A" w:rsidP="00EF235A">
            <w:pPr>
              <w:spacing w:after="120"/>
              <w:jc w:val="center"/>
              <w:cnfStyle w:val="000000000000" w:firstRow="0" w:lastRow="0" w:firstColumn="0" w:lastColumn="0" w:oddVBand="0" w:evenVBand="0" w:oddHBand="0" w:evenHBand="0" w:firstRowFirstColumn="0" w:firstRowLastColumn="0" w:lastRowFirstColumn="0" w:lastRowLastColumn="0"/>
              <w:rPr>
                <w:rFonts w:cs="Times New Roman"/>
                <w:color w:val="0070C0"/>
                <w:sz w:val="16"/>
                <w:szCs w:val="16"/>
                <w:lang w:val="en-GB"/>
              </w:rPr>
            </w:pPr>
            <w:r w:rsidRPr="00B778AC">
              <w:rPr>
                <w:rFonts w:cs="Times New Roman"/>
                <w:color w:val="0070C0"/>
                <w:sz w:val="16"/>
                <w:szCs w:val="16"/>
                <w:lang w:val="en-GB"/>
              </w:rPr>
              <w:t xml:space="preserve">Revaluation of biological assets </w:t>
            </w:r>
            <w:r w:rsidRPr="00B778AC">
              <w:rPr>
                <w:rFonts w:cs="Times New Roman"/>
                <w:color w:val="0070C0"/>
                <w:sz w:val="16"/>
                <w:szCs w:val="16"/>
                <w:lang w:val="en-GB"/>
              </w:rPr>
              <w:noBreakHyphen/>
              <w:t>465 677 000</w:t>
            </w:r>
          </w:p>
          <w:p w14:paraId="470192D4" w14:textId="6021D96C" w:rsidR="00EF235A" w:rsidRPr="00B778AC" w:rsidRDefault="00EF235A" w:rsidP="00EF235A">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roofErr w:type="gramStart"/>
            <w:r w:rsidRPr="00B778AC">
              <w:rPr>
                <w:rFonts w:cs="Times New Roman"/>
                <w:color w:val="0070C0"/>
                <w:sz w:val="16"/>
                <w:szCs w:val="16"/>
                <w:lang w:val="en-GB"/>
              </w:rPr>
              <w:t>Final result</w:t>
            </w:r>
            <w:proofErr w:type="gramEnd"/>
            <w:r w:rsidRPr="00B778AC">
              <w:rPr>
                <w:rFonts w:cs="Times New Roman"/>
                <w:color w:val="0070C0"/>
                <w:sz w:val="16"/>
                <w:szCs w:val="16"/>
                <w:lang w:val="en-GB"/>
              </w:rPr>
              <w:t xml:space="preserve"> for the reporting year with revaluation of </w:t>
            </w:r>
            <w:r w:rsidRPr="00B778AC">
              <w:rPr>
                <w:rFonts w:cs="Times New Roman"/>
                <w:color w:val="0070C0"/>
                <w:sz w:val="16"/>
                <w:szCs w:val="16"/>
                <w:lang w:val="en-GB"/>
              </w:rPr>
              <w:lastRenderedPageBreak/>
              <w:t xml:space="preserve">biological assets </w:t>
            </w:r>
            <w:r w:rsidRPr="00B778AC">
              <w:rPr>
                <w:rFonts w:cs="Times New Roman"/>
                <w:color w:val="0070C0"/>
                <w:sz w:val="16"/>
                <w:szCs w:val="16"/>
                <w:lang w:val="en-GB"/>
              </w:rPr>
              <w:noBreakHyphen/>
              <w:t>408 251 000</w:t>
            </w:r>
            <w:r w:rsidRPr="00B778AC">
              <w:rPr>
                <w:rStyle w:val="FootnoteReference"/>
                <w:rFonts w:cs="Times New Roman"/>
                <w:color w:val="0070C0"/>
                <w:sz w:val="16"/>
                <w:szCs w:val="16"/>
                <w:lang w:val="en-GB"/>
              </w:rPr>
              <w:footnoteReference w:id="8"/>
            </w:r>
          </w:p>
        </w:tc>
        <w:tc>
          <w:tcPr>
            <w:tcW w:w="825" w:type="dxa"/>
            <w:shd w:val="clear" w:color="auto" w:fill="FFFFFF" w:themeFill="background1"/>
            <w:vAlign w:val="center"/>
          </w:tcPr>
          <w:p w14:paraId="267EEE6C" w14:textId="711FEC6B" w:rsidR="00EF235A" w:rsidRPr="00B778AC" w:rsidRDefault="00EF235A" w:rsidP="00EF235A">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r w:rsidRPr="00B778AC">
              <w:rPr>
                <w:color w:val="0070C0"/>
                <w:sz w:val="18"/>
                <w:szCs w:val="18"/>
                <w:lang w:val="en-GB"/>
              </w:rPr>
              <w:lastRenderedPageBreak/>
              <w:t>75 % from net profit*</w:t>
            </w:r>
          </w:p>
        </w:tc>
      </w:tr>
      <w:tr w:rsidR="00117301" w:rsidRPr="00B778AC" w14:paraId="16FAF747" w14:textId="77777777" w:rsidTr="00EF235A">
        <w:tc>
          <w:tcPr>
            <w:cnfStyle w:val="001000000000" w:firstRow="0" w:lastRow="0" w:firstColumn="1" w:lastColumn="0" w:oddVBand="0" w:evenVBand="0" w:oddHBand="0" w:evenHBand="0" w:firstRowFirstColumn="0" w:firstRowLastColumn="0" w:lastRowFirstColumn="0" w:lastRowLastColumn="0"/>
            <w:tcW w:w="1340" w:type="dxa"/>
          </w:tcPr>
          <w:p w14:paraId="3E94214F" w14:textId="42025A49" w:rsidR="00FA0726" w:rsidRPr="00B778AC" w:rsidRDefault="00FA0726" w:rsidP="00FA0726">
            <w:pPr>
              <w:spacing w:after="120"/>
              <w:rPr>
                <w:b w:val="0"/>
                <w:bCs w:val="0"/>
                <w:color w:val="0070C0"/>
                <w:sz w:val="18"/>
                <w:szCs w:val="18"/>
                <w:lang w:val="en-GB"/>
              </w:rPr>
            </w:pPr>
            <w:r w:rsidRPr="00B778AC">
              <w:rPr>
                <w:b w:val="0"/>
                <w:bCs w:val="0"/>
                <w:color w:val="0070C0"/>
                <w:sz w:val="18"/>
                <w:szCs w:val="18"/>
                <w:lang w:val="en-GB"/>
              </w:rPr>
              <w:t>Payment for using state capital, EUR</w:t>
            </w:r>
          </w:p>
        </w:tc>
        <w:tc>
          <w:tcPr>
            <w:tcW w:w="826" w:type="dxa"/>
            <w:shd w:val="clear" w:color="auto" w:fill="FFFFFF" w:themeFill="background1"/>
            <w:vAlign w:val="center"/>
          </w:tcPr>
          <w:p w14:paraId="59B62D14" w14:textId="50DB8BF7" w:rsidR="00FA0726" w:rsidRPr="00B778AC"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986" w:type="dxa"/>
            <w:shd w:val="clear" w:color="auto" w:fill="FFFFFF" w:themeFill="background1"/>
            <w:vAlign w:val="center"/>
          </w:tcPr>
          <w:p w14:paraId="3CEC2FEF" w14:textId="7E3EF8CB" w:rsidR="00FA0726" w:rsidRPr="00B778AC"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1136" w:type="dxa"/>
            <w:vMerge/>
            <w:shd w:val="clear" w:color="auto" w:fill="FFFFFF" w:themeFill="background1"/>
          </w:tcPr>
          <w:p w14:paraId="4BF7AB3B" w14:textId="77777777" w:rsidR="00FA0726" w:rsidRPr="00B778AC"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825" w:type="dxa"/>
            <w:vAlign w:val="center"/>
          </w:tcPr>
          <w:p w14:paraId="7770D43E" w14:textId="13080980" w:rsidR="00FA0726" w:rsidRPr="00B778AC"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1066" w:type="dxa"/>
            <w:vAlign w:val="center"/>
          </w:tcPr>
          <w:p w14:paraId="3E8B383F" w14:textId="224D8585" w:rsidR="00FA0726" w:rsidRPr="00B778AC"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1107" w:type="dxa"/>
            <w:vMerge/>
            <w:shd w:val="clear" w:color="auto" w:fill="FFFFFF" w:themeFill="background1"/>
          </w:tcPr>
          <w:p w14:paraId="7DF9AE1D" w14:textId="77777777" w:rsidR="00FA0726" w:rsidRPr="00B778AC"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825" w:type="dxa"/>
            <w:vAlign w:val="center"/>
          </w:tcPr>
          <w:p w14:paraId="6E997795" w14:textId="2369B736" w:rsidR="00FA0726" w:rsidRPr="00B778AC"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986" w:type="dxa"/>
            <w:shd w:val="clear" w:color="auto" w:fill="FFFFFF" w:themeFill="background1"/>
            <w:vAlign w:val="center"/>
          </w:tcPr>
          <w:p w14:paraId="108D8272" w14:textId="21B477EE" w:rsidR="00FA0726" w:rsidRPr="00B778AC"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744" w:type="dxa"/>
            <w:vMerge/>
            <w:shd w:val="clear" w:color="auto" w:fill="FFFFFF" w:themeFill="background1"/>
          </w:tcPr>
          <w:p w14:paraId="1FD217DF" w14:textId="77777777" w:rsidR="00FA0726" w:rsidRPr="00B778AC"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825" w:type="dxa"/>
            <w:shd w:val="clear" w:color="auto" w:fill="FFFFFF" w:themeFill="background1"/>
            <w:vAlign w:val="center"/>
          </w:tcPr>
          <w:p w14:paraId="59EA924A" w14:textId="298623D2" w:rsidR="00FA0726" w:rsidRPr="00B778AC"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r w:rsidRPr="00B778AC">
              <w:rPr>
                <w:color w:val="0070C0"/>
                <w:sz w:val="18"/>
                <w:szCs w:val="18"/>
                <w:lang w:val="en-GB"/>
              </w:rPr>
              <w:t>x</w:t>
            </w:r>
          </w:p>
        </w:tc>
      </w:tr>
      <w:tr w:rsidR="00117301" w:rsidRPr="00B778AC" w14:paraId="429741B2" w14:textId="77777777" w:rsidTr="00EF235A">
        <w:tc>
          <w:tcPr>
            <w:cnfStyle w:val="001000000000" w:firstRow="0" w:lastRow="0" w:firstColumn="1" w:lastColumn="0" w:oddVBand="0" w:evenVBand="0" w:oddHBand="0" w:evenHBand="0" w:firstRowFirstColumn="0" w:firstRowLastColumn="0" w:lastRowFirstColumn="0" w:lastRowLastColumn="0"/>
            <w:tcW w:w="1340" w:type="dxa"/>
          </w:tcPr>
          <w:p w14:paraId="3AE738AD" w14:textId="30683552" w:rsidR="00FA0726" w:rsidRPr="00B778AC" w:rsidRDefault="00FA0726" w:rsidP="00FA0726">
            <w:pPr>
              <w:spacing w:after="120"/>
              <w:rPr>
                <w:b w:val="0"/>
                <w:bCs w:val="0"/>
                <w:color w:val="0070C0"/>
                <w:sz w:val="18"/>
                <w:szCs w:val="18"/>
                <w:lang w:val="en-GB"/>
              </w:rPr>
            </w:pPr>
            <w:r w:rsidRPr="00B778AC">
              <w:rPr>
                <w:b w:val="0"/>
                <w:bCs w:val="0"/>
                <w:color w:val="0070C0"/>
                <w:sz w:val="18"/>
                <w:szCs w:val="18"/>
                <w:lang w:val="en-GB"/>
              </w:rPr>
              <w:lastRenderedPageBreak/>
              <w:t>Non-standard tax, EUR</w:t>
            </w:r>
          </w:p>
        </w:tc>
        <w:tc>
          <w:tcPr>
            <w:tcW w:w="826" w:type="dxa"/>
            <w:shd w:val="clear" w:color="auto" w:fill="FFFFFF" w:themeFill="background1"/>
            <w:vAlign w:val="center"/>
          </w:tcPr>
          <w:p w14:paraId="785E5678" w14:textId="2B5A8FB6" w:rsidR="00FA0726" w:rsidRPr="00B778AC"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986" w:type="dxa"/>
            <w:shd w:val="clear" w:color="auto" w:fill="FFFFFF" w:themeFill="background1"/>
            <w:vAlign w:val="center"/>
          </w:tcPr>
          <w:p w14:paraId="56283393" w14:textId="11956544" w:rsidR="00FA0726" w:rsidRPr="00B778AC"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1136" w:type="dxa"/>
            <w:vMerge/>
            <w:shd w:val="clear" w:color="auto" w:fill="FFFFFF" w:themeFill="background1"/>
          </w:tcPr>
          <w:p w14:paraId="5F4F8384" w14:textId="77777777" w:rsidR="00FA0726" w:rsidRPr="00B778AC"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825" w:type="dxa"/>
            <w:vAlign w:val="center"/>
          </w:tcPr>
          <w:p w14:paraId="08753520" w14:textId="471E6222" w:rsidR="00FA0726" w:rsidRPr="00B778AC"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1066" w:type="dxa"/>
            <w:vAlign w:val="center"/>
          </w:tcPr>
          <w:p w14:paraId="1383BBC2" w14:textId="3661203C" w:rsidR="00FA0726" w:rsidRPr="00B778AC"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1107" w:type="dxa"/>
            <w:vMerge/>
            <w:shd w:val="clear" w:color="auto" w:fill="FFFFFF" w:themeFill="background1"/>
          </w:tcPr>
          <w:p w14:paraId="3FC6BE9E" w14:textId="77777777" w:rsidR="00FA0726" w:rsidRPr="00B778AC"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825" w:type="dxa"/>
            <w:vAlign w:val="center"/>
          </w:tcPr>
          <w:p w14:paraId="468B95A1" w14:textId="6BD5ED23" w:rsidR="00FA0726" w:rsidRPr="00B778AC"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986" w:type="dxa"/>
            <w:shd w:val="clear" w:color="auto" w:fill="FFFFFF" w:themeFill="background1"/>
            <w:vAlign w:val="center"/>
          </w:tcPr>
          <w:p w14:paraId="73F82058" w14:textId="29A64C9D" w:rsidR="00FA0726" w:rsidRPr="00B778AC"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744" w:type="dxa"/>
            <w:vMerge/>
            <w:shd w:val="clear" w:color="auto" w:fill="FFFFFF" w:themeFill="background1"/>
          </w:tcPr>
          <w:p w14:paraId="10FDCE87" w14:textId="77777777" w:rsidR="00FA0726" w:rsidRPr="00B778AC"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825" w:type="dxa"/>
            <w:shd w:val="clear" w:color="auto" w:fill="FFFFFF" w:themeFill="background1"/>
            <w:vAlign w:val="center"/>
          </w:tcPr>
          <w:p w14:paraId="73E8BC93" w14:textId="1946CCBD" w:rsidR="00FA0726" w:rsidRPr="00B778AC"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r w:rsidRPr="00B778AC">
              <w:rPr>
                <w:color w:val="0070C0"/>
                <w:sz w:val="18"/>
                <w:szCs w:val="18"/>
                <w:lang w:val="en-GB"/>
              </w:rPr>
              <w:t>x</w:t>
            </w:r>
          </w:p>
        </w:tc>
      </w:tr>
      <w:tr w:rsidR="00117301" w:rsidRPr="00771906" w14:paraId="37CA83D4" w14:textId="77777777" w:rsidTr="00EF235A">
        <w:tc>
          <w:tcPr>
            <w:cnfStyle w:val="001000000000" w:firstRow="0" w:lastRow="0" w:firstColumn="1" w:lastColumn="0" w:oddVBand="0" w:evenVBand="0" w:oddHBand="0" w:evenHBand="0" w:firstRowFirstColumn="0" w:firstRowLastColumn="0" w:lastRowFirstColumn="0" w:lastRowLastColumn="0"/>
            <w:tcW w:w="1340" w:type="dxa"/>
          </w:tcPr>
          <w:p w14:paraId="74D4BF7F" w14:textId="65CE41E1" w:rsidR="00FA0726" w:rsidRPr="00771906" w:rsidRDefault="00FA0726" w:rsidP="00FA0726">
            <w:pPr>
              <w:spacing w:after="120"/>
              <w:rPr>
                <w:b w:val="0"/>
                <w:bCs w:val="0"/>
                <w:color w:val="0070C0"/>
                <w:sz w:val="18"/>
                <w:szCs w:val="18"/>
                <w:lang w:val="en-GB"/>
              </w:rPr>
            </w:pPr>
            <w:r>
              <w:rPr>
                <w:b w:val="0"/>
                <w:bCs w:val="0"/>
                <w:color w:val="0070C0"/>
                <w:sz w:val="18"/>
                <w:szCs w:val="18"/>
                <w:lang w:val="en-GB"/>
              </w:rPr>
              <w:t>Concession payments for use of state assets</w:t>
            </w:r>
            <w:r w:rsidRPr="00771906">
              <w:rPr>
                <w:b w:val="0"/>
                <w:bCs w:val="0"/>
                <w:color w:val="0070C0"/>
                <w:sz w:val="18"/>
                <w:szCs w:val="18"/>
                <w:lang w:val="en-GB"/>
              </w:rPr>
              <w:t>, EUR</w:t>
            </w:r>
          </w:p>
        </w:tc>
        <w:tc>
          <w:tcPr>
            <w:tcW w:w="826" w:type="dxa"/>
            <w:shd w:val="clear" w:color="auto" w:fill="FFFFFF" w:themeFill="background1"/>
            <w:vAlign w:val="center"/>
          </w:tcPr>
          <w:p w14:paraId="67D79788" w14:textId="015471FA" w:rsidR="00FA0726" w:rsidRPr="00771906"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986" w:type="dxa"/>
            <w:shd w:val="clear" w:color="auto" w:fill="FFFFFF" w:themeFill="background1"/>
            <w:vAlign w:val="center"/>
          </w:tcPr>
          <w:p w14:paraId="54DD38F0" w14:textId="4C4800D3" w:rsidR="00FA0726" w:rsidRPr="00771906"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1136" w:type="dxa"/>
            <w:vMerge/>
            <w:shd w:val="clear" w:color="auto" w:fill="FFFFFF" w:themeFill="background1"/>
          </w:tcPr>
          <w:p w14:paraId="45DE24AE" w14:textId="77777777" w:rsidR="00FA0726" w:rsidRPr="00771906"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825" w:type="dxa"/>
            <w:vAlign w:val="center"/>
          </w:tcPr>
          <w:p w14:paraId="76320AB6" w14:textId="7BC01C3B" w:rsidR="00FA0726" w:rsidRPr="00771906"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1066" w:type="dxa"/>
            <w:vAlign w:val="center"/>
          </w:tcPr>
          <w:p w14:paraId="78D1F0B5" w14:textId="73A77F00" w:rsidR="00FA0726" w:rsidRPr="00771906"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1107" w:type="dxa"/>
            <w:vMerge/>
            <w:shd w:val="clear" w:color="auto" w:fill="FFFFFF" w:themeFill="background1"/>
          </w:tcPr>
          <w:p w14:paraId="290C550E" w14:textId="77777777" w:rsidR="00FA0726" w:rsidRPr="00771906"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825" w:type="dxa"/>
            <w:vAlign w:val="center"/>
          </w:tcPr>
          <w:p w14:paraId="5927B2F5" w14:textId="11E69BB6" w:rsidR="00FA0726" w:rsidRPr="00771906"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986" w:type="dxa"/>
            <w:shd w:val="clear" w:color="auto" w:fill="FFFFFF" w:themeFill="background1"/>
            <w:vAlign w:val="center"/>
          </w:tcPr>
          <w:p w14:paraId="630935AC" w14:textId="08F74A35" w:rsidR="00FA0726" w:rsidRPr="00771906"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744" w:type="dxa"/>
            <w:vMerge/>
            <w:shd w:val="clear" w:color="auto" w:fill="FFFFFF" w:themeFill="background1"/>
          </w:tcPr>
          <w:p w14:paraId="735CEB10" w14:textId="77777777" w:rsidR="00FA0726" w:rsidRPr="00771906"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825" w:type="dxa"/>
            <w:shd w:val="clear" w:color="auto" w:fill="FFFFFF" w:themeFill="background1"/>
            <w:vAlign w:val="center"/>
          </w:tcPr>
          <w:p w14:paraId="4EB2AE03" w14:textId="4E16942A" w:rsidR="00FA0726" w:rsidRPr="00771906"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r w:rsidRPr="00771906">
              <w:rPr>
                <w:color w:val="0070C0"/>
                <w:sz w:val="18"/>
                <w:szCs w:val="18"/>
                <w:lang w:val="en-GB"/>
              </w:rPr>
              <w:t>x</w:t>
            </w:r>
          </w:p>
        </w:tc>
      </w:tr>
      <w:tr w:rsidR="00117301" w:rsidRPr="00771906" w14:paraId="2F123F3F" w14:textId="77777777" w:rsidTr="00EF235A">
        <w:tc>
          <w:tcPr>
            <w:cnfStyle w:val="001000000000" w:firstRow="0" w:lastRow="0" w:firstColumn="1" w:lastColumn="0" w:oddVBand="0" w:evenVBand="0" w:oddHBand="0" w:evenHBand="0" w:firstRowFirstColumn="0" w:firstRowLastColumn="0" w:lastRowFirstColumn="0" w:lastRowLastColumn="0"/>
            <w:tcW w:w="1340" w:type="dxa"/>
          </w:tcPr>
          <w:p w14:paraId="3D6BBE70" w14:textId="2789613C" w:rsidR="00FA0726" w:rsidRPr="00771906" w:rsidRDefault="00FA0726" w:rsidP="00FA0726">
            <w:pPr>
              <w:spacing w:after="120"/>
              <w:rPr>
                <w:rFonts w:cs="Times New Roman"/>
                <w:sz w:val="22"/>
                <w:lang w:val="en-GB"/>
              </w:rPr>
            </w:pPr>
            <w:r>
              <w:rPr>
                <w:b w:val="0"/>
                <w:bCs w:val="0"/>
                <w:color w:val="0070C0"/>
                <w:sz w:val="18"/>
                <w:szCs w:val="18"/>
                <w:lang w:val="en-GB"/>
              </w:rPr>
              <w:t>Other type (please specify</w:t>
            </w:r>
            <w:r w:rsidRPr="00771906">
              <w:rPr>
                <w:b w:val="0"/>
                <w:bCs w:val="0"/>
                <w:color w:val="0070C0"/>
                <w:sz w:val="18"/>
                <w:szCs w:val="18"/>
                <w:lang w:val="en-GB"/>
              </w:rPr>
              <w:t>), EUR</w:t>
            </w:r>
          </w:p>
        </w:tc>
        <w:tc>
          <w:tcPr>
            <w:tcW w:w="826" w:type="dxa"/>
            <w:shd w:val="clear" w:color="auto" w:fill="FFFFFF" w:themeFill="background1"/>
            <w:vAlign w:val="center"/>
          </w:tcPr>
          <w:p w14:paraId="6975B0FE" w14:textId="20303152" w:rsidR="00FA0726" w:rsidRPr="00771906"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986" w:type="dxa"/>
            <w:shd w:val="clear" w:color="auto" w:fill="FFFFFF" w:themeFill="background1"/>
            <w:vAlign w:val="center"/>
          </w:tcPr>
          <w:p w14:paraId="6313E619" w14:textId="1FA536B3" w:rsidR="00FA0726" w:rsidRPr="00771906"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1136" w:type="dxa"/>
            <w:vMerge/>
            <w:shd w:val="clear" w:color="auto" w:fill="FFFFFF" w:themeFill="background1"/>
          </w:tcPr>
          <w:p w14:paraId="0D6F4785" w14:textId="77777777" w:rsidR="00FA0726" w:rsidRPr="00771906"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825" w:type="dxa"/>
            <w:vAlign w:val="center"/>
          </w:tcPr>
          <w:p w14:paraId="01176527" w14:textId="11EADCB1" w:rsidR="00FA0726" w:rsidRPr="00771906"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1066" w:type="dxa"/>
            <w:vAlign w:val="center"/>
          </w:tcPr>
          <w:p w14:paraId="7990469B" w14:textId="1407FFBE" w:rsidR="00FA0726" w:rsidRPr="00771906"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1107" w:type="dxa"/>
            <w:vMerge/>
            <w:shd w:val="clear" w:color="auto" w:fill="FFFFFF" w:themeFill="background1"/>
          </w:tcPr>
          <w:p w14:paraId="2EF1A66A" w14:textId="77777777" w:rsidR="00FA0726" w:rsidRPr="00771906"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825" w:type="dxa"/>
            <w:vAlign w:val="center"/>
          </w:tcPr>
          <w:p w14:paraId="078A0A80" w14:textId="5ED53615" w:rsidR="00FA0726" w:rsidRPr="00771906"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986" w:type="dxa"/>
            <w:shd w:val="clear" w:color="auto" w:fill="FFFFFF" w:themeFill="background1"/>
            <w:vAlign w:val="center"/>
          </w:tcPr>
          <w:p w14:paraId="55C189BF" w14:textId="56F06165" w:rsidR="00FA0726" w:rsidRPr="00771906"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744" w:type="dxa"/>
            <w:vMerge/>
            <w:shd w:val="clear" w:color="auto" w:fill="FFFFFF" w:themeFill="background1"/>
          </w:tcPr>
          <w:p w14:paraId="7CCE3588" w14:textId="77777777" w:rsidR="00FA0726" w:rsidRPr="00771906"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p>
        </w:tc>
        <w:tc>
          <w:tcPr>
            <w:tcW w:w="825" w:type="dxa"/>
            <w:shd w:val="clear" w:color="auto" w:fill="FFFFFF" w:themeFill="background1"/>
            <w:vAlign w:val="center"/>
          </w:tcPr>
          <w:p w14:paraId="0DE897BF" w14:textId="1CCE9E40" w:rsidR="00FA0726" w:rsidRPr="00771906" w:rsidRDefault="00FA0726" w:rsidP="00FA0726">
            <w:pPr>
              <w:spacing w:after="120"/>
              <w:jc w:val="center"/>
              <w:cnfStyle w:val="000000000000" w:firstRow="0" w:lastRow="0" w:firstColumn="0" w:lastColumn="0" w:oddVBand="0" w:evenVBand="0" w:oddHBand="0" w:evenHBand="0" w:firstRowFirstColumn="0" w:firstRowLastColumn="0" w:lastRowFirstColumn="0" w:lastRowLastColumn="0"/>
              <w:rPr>
                <w:color w:val="0070C0"/>
                <w:sz w:val="18"/>
                <w:szCs w:val="18"/>
                <w:lang w:val="en-GB"/>
              </w:rPr>
            </w:pPr>
            <w:r w:rsidRPr="00771906">
              <w:rPr>
                <w:color w:val="0070C0"/>
                <w:sz w:val="18"/>
                <w:szCs w:val="18"/>
                <w:lang w:val="en-GB"/>
              </w:rPr>
              <w:t>x</w:t>
            </w:r>
          </w:p>
        </w:tc>
      </w:tr>
    </w:tbl>
    <w:bookmarkEnd w:id="2"/>
    <w:p w14:paraId="666C38CD" w14:textId="0A4DAB95" w:rsidR="009B091B" w:rsidRPr="00771906" w:rsidRDefault="009B091B" w:rsidP="009B091B">
      <w:pPr>
        <w:spacing w:after="120" w:line="240" w:lineRule="auto"/>
        <w:ind w:left="142" w:right="-710" w:hanging="142"/>
        <w:jc w:val="both"/>
        <w:rPr>
          <w:color w:val="0070C0"/>
          <w:sz w:val="22"/>
          <w:lang w:val="en-GB"/>
        </w:rPr>
      </w:pPr>
      <w:r w:rsidRPr="00771906">
        <w:rPr>
          <w:color w:val="0070C0"/>
          <w:sz w:val="22"/>
          <w:lang w:val="en-GB"/>
        </w:rPr>
        <w:t xml:space="preserve">* </w:t>
      </w:r>
      <w:r w:rsidR="00A03300" w:rsidRPr="00A03300">
        <w:rPr>
          <w:rFonts w:eastAsia="Times New Roman" w:cs="Times New Roman"/>
          <w:i/>
          <w:iCs/>
          <w:sz w:val="18"/>
          <w:szCs w:val="18"/>
          <w:lang w:val="en-GB"/>
        </w:rPr>
        <w:t>We have already indicated publicly available information in the table. Please clarify</w:t>
      </w:r>
      <w:r w:rsidR="00A03300">
        <w:rPr>
          <w:rFonts w:eastAsia="Times New Roman" w:cs="Times New Roman"/>
          <w:i/>
          <w:iCs/>
          <w:sz w:val="18"/>
          <w:szCs w:val="18"/>
          <w:lang w:val="en-GB"/>
        </w:rPr>
        <w:t>,</w:t>
      </w:r>
      <w:r w:rsidR="00A03300" w:rsidRPr="00A03300">
        <w:rPr>
          <w:rFonts w:eastAsia="Times New Roman" w:cs="Times New Roman"/>
          <w:i/>
          <w:iCs/>
          <w:sz w:val="18"/>
          <w:szCs w:val="18"/>
          <w:lang w:val="en-GB"/>
        </w:rPr>
        <w:t xml:space="preserve"> if necessary.</w:t>
      </w:r>
    </w:p>
    <w:p w14:paraId="19118442" w14:textId="37D0EA01" w:rsidR="000336F0" w:rsidRPr="00771906" w:rsidRDefault="00A03300" w:rsidP="00904E5A">
      <w:pPr>
        <w:pStyle w:val="ListParagraph"/>
        <w:numPr>
          <w:ilvl w:val="1"/>
          <w:numId w:val="6"/>
        </w:numPr>
        <w:spacing w:before="120" w:after="120" w:line="240" w:lineRule="auto"/>
        <w:ind w:left="1349" w:hanging="357"/>
        <w:jc w:val="both"/>
        <w:rPr>
          <w:color w:val="0070C0"/>
          <w:sz w:val="22"/>
          <w:lang w:val="en-GB"/>
        </w:rPr>
      </w:pPr>
      <w:r w:rsidRPr="00A03300">
        <w:rPr>
          <w:rFonts w:cs="Times New Roman"/>
          <w:sz w:val="22"/>
          <w:lang w:val="en-GB"/>
        </w:rPr>
        <w:t xml:space="preserve">Please indicate the principles/criteria used to determine the above-mentioned payments </w:t>
      </w:r>
      <w:r w:rsidR="00DD1B30">
        <w:rPr>
          <w:rFonts w:cs="Times New Roman"/>
          <w:sz w:val="22"/>
          <w:lang w:val="en-GB"/>
        </w:rPr>
        <w:t>by</w:t>
      </w:r>
      <w:r w:rsidRPr="00A03300">
        <w:rPr>
          <w:rFonts w:cs="Times New Roman"/>
          <w:sz w:val="22"/>
          <w:lang w:val="en-GB"/>
        </w:rPr>
        <w:t xml:space="preserve"> the </w:t>
      </w:r>
      <w:r w:rsidRPr="00797FBA">
        <w:rPr>
          <w:rFonts w:cs="Times New Roman"/>
          <w:i/>
          <w:iCs/>
          <w:sz w:val="22"/>
          <w:lang w:val="en-GB"/>
        </w:rPr>
        <w:t>State Forest Management Centre</w:t>
      </w:r>
      <w:r w:rsidRPr="00A03300">
        <w:rPr>
          <w:rFonts w:cs="Times New Roman"/>
          <w:sz w:val="22"/>
          <w:lang w:val="en-GB"/>
        </w:rPr>
        <w:t xml:space="preserve"> into the state budget, including in wh</w:t>
      </w:r>
      <w:r>
        <w:rPr>
          <w:rFonts w:cs="Times New Roman"/>
          <w:sz w:val="22"/>
          <w:lang w:val="en-GB"/>
        </w:rPr>
        <w:t>ich</w:t>
      </w:r>
      <w:r w:rsidRPr="00A03300">
        <w:rPr>
          <w:rFonts w:cs="Times New Roman"/>
          <w:sz w:val="22"/>
          <w:lang w:val="en-GB"/>
        </w:rPr>
        <w:t xml:space="preserve"> cases changes are made to the amount of these payments within the year?</w:t>
      </w:r>
    </w:p>
    <w:p w14:paraId="3C752EE1" w14:textId="77777777" w:rsidR="00107D2C" w:rsidRDefault="00107D2C" w:rsidP="009F537F">
      <w:pPr>
        <w:spacing w:after="120" w:line="240" w:lineRule="auto"/>
        <w:ind w:left="-284"/>
        <w:jc w:val="both"/>
        <w:rPr>
          <w:sz w:val="22"/>
          <w:lang w:val="en-GB"/>
        </w:rPr>
      </w:pPr>
    </w:p>
    <w:p w14:paraId="603C67D2" w14:textId="31A58085" w:rsidR="00241045" w:rsidRPr="00771906" w:rsidRDefault="00A03300" w:rsidP="009F537F">
      <w:pPr>
        <w:spacing w:after="120" w:line="240" w:lineRule="auto"/>
        <w:ind w:left="-284"/>
        <w:jc w:val="both"/>
        <w:rPr>
          <w:sz w:val="22"/>
          <w:lang w:val="en-GB"/>
        </w:rPr>
      </w:pPr>
      <w:r>
        <w:rPr>
          <w:sz w:val="22"/>
          <w:lang w:val="en-GB"/>
        </w:rPr>
        <w:t xml:space="preserve">We would highly appreciate if it would be possible to provide this information by </w:t>
      </w:r>
      <w:r w:rsidR="00E97930">
        <w:rPr>
          <w:b/>
          <w:bCs/>
          <w:sz w:val="22"/>
          <w:lang w:val="en-GB"/>
        </w:rPr>
        <w:t>29</w:t>
      </w:r>
      <w:r w:rsidRPr="00A03300">
        <w:rPr>
          <w:b/>
          <w:bCs/>
          <w:sz w:val="22"/>
          <w:lang w:val="en-GB"/>
        </w:rPr>
        <w:t xml:space="preserve"> January 2026</w:t>
      </w:r>
      <w:r>
        <w:rPr>
          <w:sz w:val="22"/>
          <w:lang w:val="en-GB"/>
        </w:rPr>
        <w:t xml:space="preserve">. </w:t>
      </w:r>
    </w:p>
    <w:p w14:paraId="1D992D2A" w14:textId="112124F9" w:rsidR="00B67DE3" w:rsidRPr="00771906" w:rsidRDefault="00A03300" w:rsidP="009F537F">
      <w:pPr>
        <w:spacing w:after="120" w:line="240" w:lineRule="auto"/>
        <w:ind w:left="-284"/>
        <w:jc w:val="both"/>
        <w:rPr>
          <w:sz w:val="22"/>
          <w:lang w:val="en-GB"/>
        </w:rPr>
      </w:pPr>
      <w:r>
        <w:rPr>
          <w:sz w:val="22"/>
          <w:lang w:val="en-GB"/>
        </w:rPr>
        <w:t xml:space="preserve">If there is any need for additional information or clarification, please do not hesitate to contact Mr. Jānis Salenieks, </w:t>
      </w:r>
      <w:r w:rsidR="007C4261">
        <w:rPr>
          <w:sz w:val="22"/>
          <w:lang w:val="en-GB"/>
        </w:rPr>
        <w:t xml:space="preserve">Senior state auditor of the </w:t>
      </w:r>
      <w:r w:rsidR="00DD1B30">
        <w:rPr>
          <w:sz w:val="22"/>
          <w:lang w:val="en-GB"/>
        </w:rPr>
        <w:t>Environmental</w:t>
      </w:r>
      <w:r w:rsidR="007C4261">
        <w:rPr>
          <w:sz w:val="22"/>
          <w:lang w:val="en-GB"/>
        </w:rPr>
        <w:t xml:space="preserve"> sector, Fifth Audit Department of SAI Latvia </w:t>
      </w:r>
      <w:r w:rsidR="00E6211E" w:rsidRPr="00771906">
        <w:rPr>
          <w:sz w:val="22"/>
          <w:lang w:val="en-GB"/>
        </w:rPr>
        <w:t>(e</w:t>
      </w:r>
      <w:r w:rsidR="007C4261">
        <w:rPr>
          <w:sz w:val="22"/>
          <w:lang w:val="en-GB"/>
        </w:rPr>
        <w:t>mail</w:t>
      </w:r>
      <w:r w:rsidR="00E6211E" w:rsidRPr="00771906">
        <w:rPr>
          <w:sz w:val="22"/>
          <w:lang w:val="en-GB"/>
        </w:rPr>
        <w:t xml:space="preserve">: </w:t>
      </w:r>
      <w:hyperlink r:id="rId8" w:history="1">
        <w:r w:rsidR="00E6211E" w:rsidRPr="00771906">
          <w:rPr>
            <w:rStyle w:val="Hyperlink"/>
            <w:sz w:val="22"/>
            <w:lang w:val="en-GB"/>
          </w:rPr>
          <w:t>Janis.Salenieks@lrvk.gov.lv</w:t>
        </w:r>
      </w:hyperlink>
      <w:r w:rsidR="00E6211E" w:rsidRPr="00771906">
        <w:rPr>
          <w:sz w:val="22"/>
          <w:lang w:val="en-GB"/>
        </w:rPr>
        <w:t xml:space="preserve"> </w:t>
      </w:r>
      <w:r w:rsidR="007C4261">
        <w:rPr>
          <w:sz w:val="22"/>
          <w:lang w:val="en-GB"/>
        </w:rPr>
        <w:t>or telephone number</w:t>
      </w:r>
      <w:r w:rsidR="00E6211E" w:rsidRPr="00771906">
        <w:rPr>
          <w:sz w:val="22"/>
          <w:lang w:val="en-GB"/>
        </w:rPr>
        <w:t>: +371-23282380)</w:t>
      </w:r>
      <w:r w:rsidR="005419B0" w:rsidRPr="00771906">
        <w:rPr>
          <w:sz w:val="22"/>
          <w:lang w:val="en-GB"/>
        </w:rPr>
        <w:t>.</w:t>
      </w:r>
      <w:bookmarkEnd w:id="0"/>
      <w:bookmarkEnd w:id="1"/>
    </w:p>
    <w:sectPr w:rsidR="00B67DE3" w:rsidRPr="00771906" w:rsidSect="008E2963">
      <w:headerReference w:type="default" r:id="rId9"/>
      <w:pgSz w:w="11906" w:h="16838"/>
      <w:pgMar w:top="1134" w:right="1134" w:bottom="1134" w:left="1134" w:header="709" w:footer="709"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90F2F" w14:textId="77777777" w:rsidR="00F73757" w:rsidRDefault="00F73757" w:rsidP="00ED1624">
      <w:pPr>
        <w:spacing w:after="0" w:line="240" w:lineRule="auto"/>
      </w:pPr>
      <w:r>
        <w:separator/>
      </w:r>
    </w:p>
  </w:endnote>
  <w:endnote w:type="continuationSeparator" w:id="0">
    <w:p w14:paraId="0A749FC5" w14:textId="77777777" w:rsidR="00F73757" w:rsidRDefault="00F73757" w:rsidP="00ED1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EF70A" w14:textId="77777777" w:rsidR="00F73757" w:rsidRDefault="00F73757" w:rsidP="00ED1624">
      <w:pPr>
        <w:spacing w:after="0" w:line="240" w:lineRule="auto"/>
      </w:pPr>
      <w:r>
        <w:separator/>
      </w:r>
    </w:p>
  </w:footnote>
  <w:footnote w:type="continuationSeparator" w:id="0">
    <w:p w14:paraId="1C47B2EB" w14:textId="77777777" w:rsidR="00F73757" w:rsidRDefault="00F73757" w:rsidP="00ED1624">
      <w:pPr>
        <w:spacing w:after="0" w:line="240" w:lineRule="auto"/>
      </w:pPr>
      <w:r>
        <w:continuationSeparator/>
      </w:r>
    </w:p>
  </w:footnote>
  <w:footnote w:id="1">
    <w:p w14:paraId="3BA06351" w14:textId="76B61E39" w:rsidR="00CD42F7" w:rsidRDefault="00CD42F7" w:rsidP="00CD42F7">
      <w:pPr>
        <w:pStyle w:val="FootnoteText"/>
      </w:pPr>
      <w:r>
        <w:rPr>
          <w:rStyle w:val="FootnoteReference"/>
        </w:rPr>
        <w:footnoteRef/>
      </w:r>
      <w:r>
        <w:t xml:space="preserve"> </w:t>
      </w:r>
      <w:hyperlink r:id="rId1" w:history="1">
        <w:r w:rsidRPr="00915F51">
          <w:rPr>
            <w:rStyle w:val="Hyperlink"/>
          </w:rPr>
          <w:t>https://rmk.ee/en/sale-of-timber/sales-principles/</w:t>
        </w:r>
      </w:hyperlink>
      <w:r>
        <w:t xml:space="preserve"> (</w:t>
      </w:r>
      <w:r w:rsidR="00771906">
        <w:t>resource viewed</w:t>
      </w:r>
      <w:r>
        <w:t xml:space="preserve"> 06.11.2025.)</w:t>
      </w:r>
    </w:p>
  </w:footnote>
  <w:footnote w:id="2">
    <w:p w14:paraId="7F0CA55E" w14:textId="6C619AB1" w:rsidR="00727660" w:rsidRDefault="00727660" w:rsidP="00727660">
      <w:pPr>
        <w:pStyle w:val="FootnoteText"/>
      </w:pPr>
      <w:r>
        <w:rPr>
          <w:rStyle w:val="FootnoteReference"/>
        </w:rPr>
        <w:footnoteRef/>
      </w:r>
      <w:r>
        <w:t xml:space="preserve"> </w:t>
      </w:r>
      <w:hyperlink r:id="rId2" w:history="1">
        <w:r w:rsidRPr="00885220">
          <w:rPr>
            <w:rStyle w:val="Hyperlink"/>
          </w:rPr>
          <w:t>https://kliimaministeerium.ee/sites/default/files/documents/2025-08/Omaniku%20ootused%20Riigimetsa%20Majandamise%20Keskusele.pdf</w:t>
        </w:r>
      </w:hyperlink>
      <w:r>
        <w:t xml:space="preserve"> (</w:t>
      </w:r>
      <w:r w:rsidR="00A03300">
        <w:t>resource viewed</w:t>
      </w:r>
      <w:r>
        <w:t xml:space="preserve"> 12.11.2025.).</w:t>
      </w:r>
    </w:p>
  </w:footnote>
  <w:footnote w:id="3">
    <w:p w14:paraId="5D975551" w14:textId="76481FE7" w:rsidR="00454806" w:rsidRDefault="00454806" w:rsidP="00454806">
      <w:pPr>
        <w:pStyle w:val="FootnoteText"/>
      </w:pPr>
      <w:r>
        <w:rPr>
          <w:rStyle w:val="FootnoteReference"/>
        </w:rPr>
        <w:footnoteRef/>
      </w:r>
      <w:r>
        <w:t xml:space="preserve"> </w:t>
      </w:r>
      <w:hyperlink r:id="rId3" w:history="1">
        <w:r w:rsidRPr="009C49EB">
          <w:rPr>
            <w:rStyle w:val="Hyperlink"/>
          </w:rPr>
          <w:t>https://rmk.ee/uudised/uudis/rmk-s-ei-jatka-tood-50-inimest</w:t>
        </w:r>
      </w:hyperlink>
      <w:r>
        <w:t xml:space="preserve"> </w:t>
      </w:r>
      <w:r w:rsidR="00E13104">
        <w:t>(resource viewed 12.11.2025.).</w:t>
      </w:r>
    </w:p>
  </w:footnote>
  <w:footnote w:id="4">
    <w:p w14:paraId="36ABFC57" w14:textId="1A63C5D9" w:rsidR="00EF235A" w:rsidRDefault="00EF235A">
      <w:pPr>
        <w:pStyle w:val="FootnoteText"/>
      </w:pPr>
      <w:r>
        <w:rPr>
          <w:rStyle w:val="FootnoteReference"/>
        </w:rPr>
        <w:footnoteRef/>
      </w:r>
      <w:r>
        <w:t xml:space="preserve"> </w:t>
      </w:r>
      <w:hyperlink r:id="rId4" w:history="1">
        <w:r w:rsidRPr="009C49EB">
          <w:rPr>
            <w:rStyle w:val="Hyperlink"/>
          </w:rPr>
          <w:t>https://media.rmk.ee/files/RMK_majandusaasta_aruanne_2023.pdf</w:t>
        </w:r>
      </w:hyperlink>
      <w:r>
        <w:t xml:space="preserve"> </w:t>
      </w:r>
      <w:r w:rsidR="00E13104">
        <w:t>(resource viewed 12.11.2025.).</w:t>
      </w:r>
    </w:p>
  </w:footnote>
  <w:footnote w:id="5">
    <w:p w14:paraId="0C3116C0" w14:textId="04712C82" w:rsidR="00EF235A" w:rsidRDefault="00EF235A" w:rsidP="006E40B5">
      <w:pPr>
        <w:pStyle w:val="FootnoteText"/>
      </w:pPr>
      <w:r>
        <w:rPr>
          <w:rStyle w:val="FootnoteReference"/>
        </w:rPr>
        <w:footnoteRef/>
      </w:r>
      <w:r>
        <w:t xml:space="preserve"> </w:t>
      </w:r>
      <w:hyperlink r:id="rId5" w:history="1">
        <w:r w:rsidRPr="009C49EB">
          <w:rPr>
            <w:rStyle w:val="Hyperlink"/>
          </w:rPr>
          <w:t>https://rmk.ee/wp-content/uploads/2025/04/RMK_majandusaasta_aruanne_2024.pdf</w:t>
        </w:r>
      </w:hyperlink>
      <w:r>
        <w:t xml:space="preserve"> </w:t>
      </w:r>
      <w:r w:rsidR="00E13104">
        <w:t>(resource viewed 12.11.2025.).</w:t>
      </w:r>
    </w:p>
  </w:footnote>
  <w:footnote w:id="6">
    <w:p w14:paraId="7BC82EB4" w14:textId="06D85EA4" w:rsidR="00EF235A" w:rsidRDefault="00EF235A">
      <w:pPr>
        <w:pStyle w:val="FootnoteText"/>
      </w:pPr>
      <w:r>
        <w:rPr>
          <w:rStyle w:val="FootnoteReference"/>
        </w:rPr>
        <w:footnoteRef/>
      </w:r>
      <w:r>
        <w:t xml:space="preserve"> </w:t>
      </w:r>
      <w:hyperlink r:id="rId6" w:history="1">
        <w:r w:rsidRPr="009C49EB">
          <w:rPr>
            <w:rStyle w:val="Hyperlink"/>
          </w:rPr>
          <w:t>https://rmk.ee/wp-content/uploads/2025/04/RMK_majandusaasta_aruanne_2024.pdf</w:t>
        </w:r>
      </w:hyperlink>
      <w:r>
        <w:t xml:space="preserve"> </w:t>
      </w:r>
      <w:r w:rsidR="00E13104">
        <w:t>(resource viewed 12.11.2025.).</w:t>
      </w:r>
    </w:p>
  </w:footnote>
  <w:footnote w:id="7">
    <w:p w14:paraId="47497D5A" w14:textId="5122992B" w:rsidR="00EF235A" w:rsidRDefault="00EF235A">
      <w:pPr>
        <w:pStyle w:val="FootnoteText"/>
      </w:pPr>
      <w:r>
        <w:rPr>
          <w:rStyle w:val="FootnoteReference"/>
        </w:rPr>
        <w:footnoteRef/>
      </w:r>
      <w:r>
        <w:t xml:space="preserve"> </w:t>
      </w:r>
      <w:hyperlink r:id="rId7" w:history="1">
        <w:r w:rsidRPr="009C49EB">
          <w:rPr>
            <w:rStyle w:val="Hyperlink"/>
          </w:rPr>
          <w:t>https://valitsus.ee/uudised/valitsuse-131125-istungi-kommenteeritud-paevakord</w:t>
        </w:r>
      </w:hyperlink>
      <w:r>
        <w:t xml:space="preserve"> </w:t>
      </w:r>
      <w:r w:rsidR="00E13104">
        <w:t>(resource viewed 12.11.2025.).</w:t>
      </w:r>
    </w:p>
  </w:footnote>
  <w:footnote w:id="8">
    <w:p w14:paraId="7055DAEB" w14:textId="27110BAC" w:rsidR="00EF235A" w:rsidRDefault="00EF235A" w:rsidP="00EF1704">
      <w:pPr>
        <w:pStyle w:val="FootnoteText"/>
      </w:pPr>
      <w:r>
        <w:rPr>
          <w:rStyle w:val="FootnoteReference"/>
        </w:rPr>
        <w:footnoteRef/>
      </w:r>
      <w:r>
        <w:t xml:space="preserve"> </w:t>
      </w:r>
      <w:hyperlink r:id="rId8" w:history="1">
        <w:r w:rsidRPr="009C49EB">
          <w:rPr>
            <w:rStyle w:val="Hyperlink"/>
          </w:rPr>
          <w:t>https://rmk.ee/wp-content/uploads/2025/04/RMK_majandusaasta_aruanne_2024.pdf</w:t>
        </w:r>
      </w:hyperlink>
      <w:r>
        <w:t xml:space="preserve"> </w:t>
      </w:r>
      <w:r w:rsidR="00E13104">
        <w:t>(resource viewed 12.11.2025.).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58770583"/>
      <w:docPartObj>
        <w:docPartGallery w:val="Page Numbers (Top of Page)"/>
        <w:docPartUnique/>
      </w:docPartObj>
    </w:sdtPr>
    <w:sdtEndPr>
      <w:rPr>
        <w:noProof/>
      </w:rPr>
    </w:sdtEndPr>
    <w:sdtContent>
      <w:p w14:paraId="0AA1A611" w14:textId="44CE3F76" w:rsidR="000840DC" w:rsidRPr="000840DC" w:rsidRDefault="000840DC">
        <w:pPr>
          <w:pStyle w:val="Header"/>
          <w:jc w:val="center"/>
          <w:rPr>
            <w:sz w:val="20"/>
            <w:szCs w:val="20"/>
          </w:rPr>
        </w:pPr>
        <w:r w:rsidRPr="000840DC">
          <w:rPr>
            <w:sz w:val="20"/>
            <w:szCs w:val="20"/>
          </w:rPr>
          <w:fldChar w:fldCharType="begin"/>
        </w:r>
        <w:r w:rsidRPr="000840DC">
          <w:rPr>
            <w:sz w:val="20"/>
            <w:szCs w:val="20"/>
          </w:rPr>
          <w:instrText xml:space="preserve"> PAGE   \* MERGEFORMAT </w:instrText>
        </w:r>
        <w:r w:rsidRPr="000840DC">
          <w:rPr>
            <w:sz w:val="20"/>
            <w:szCs w:val="20"/>
          </w:rPr>
          <w:fldChar w:fldCharType="separate"/>
        </w:r>
        <w:r w:rsidRPr="000840DC">
          <w:rPr>
            <w:noProof/>
            <w:sz w:val="20"/>
            <w:szCs w:val="20"/>
          </w:rPr>
          <w:t>2</w:t>
        </w:r>
        <w:r w:rsidRPr="000840DC">
          <w:rPr>
            <w:noProof/>
            <w:sz w:val="20"/>
            <w:szCs w:val="20"/>
          </w:rPr>
          <w:fldChar w:fldCharType="end"/>
        </w:r>
      </w:p>
    </w:sdtContent>
  </w:sdt>
  <w:p w14:paraId="32A49E16" w14:textId="77777777" w:rsidR="00ED1624" w:rsidRPr="000840DC" w:rsidRDefault="00ED1624" w:rsidP="00924E9D">
    <w:pPr>
      <w:spacing w:after="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20F6"/>
    <w:multiLevelType w:val="multilevel"/>
    <w:tmpl w:val="F0E6722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AF878F1"/>
    <w:multiLevelType w:val="multilevel"/>
    <w:tmpl w:val="F0E6722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BA264CC"/>
    <w:multiLevelType w:val="multilevel"/>
    <w:tmpl w:val="B5002F56"/>
    <w:lvl w:ilvl="0">
      <w:start w:val="3"/>
      <w:numFmt w:val="decimal"/>
      <w:lvlText w:val="%1."/>
      <w:lvlJc w:val="left"/>
      <w:pPr>
        <w:ind w:left="360" w:hanging="360"/>
      </w:pPr>
      <w:rPr>
        <w:rFonts w:eastAsia="Times New Roman" w:cs="Times New Roman" w:hint="default"/>
        <w:color w:val="212529"/>
      </w:rPr>
    </w:lvl>
    <w:lvl w:ilvl="1">
      <w:start w:val="1"/>
      <w:numFmt w:val="decimal"/>
      <w:isLgl/>
      <w:lvlText w:val="%1.%2."/>
      <w:lvlJc w:val="left"/>
      <w:pPr>
        <w:ind w:left="4330" w:hanging="360"/>
      </w:pPr>
      <w:rPr>
        <w:rFonts w:cstheme="minorBidi" w:hint="default"/>
        <w:color w:val="auto"/>
      </w:rPr>
    </w:lvl>
    <w:lvl w:ilvl="2">
      <w:start w:val="1"/>
      <w:numFmt w:val="decimal"/>
      <w:isLgl/>
      <w:lvlText w:val="%1.%2.%3."/>
      <w:lvlJc w:val="left"/>
      <w:pPr>
        <w:ind w:left="8660" w:hanging="720"/>
      </w:pPr>
      <w:rPr>
        <w:rFonts w:cstheme="minorBidi" w:hint="default"/>
      </w:rPr>
    </w:lvl>
    <w:lvl w:ilvl="3">
      <w:start w:val="1"/>
      <w:numFmt w:val="decimal"/>
      <w:isLgl/>
      <w:lvlText w:val="%1.%2.%3.%4."/>
      <w:lvlJc w:val="left"/>
      <w:pPr>
        <w:ind w:left="12630" w:hanging="720"/>
      </w:pPr>
      <w:rPr>
        <w:rFonts w:cstheme="minorBidi" w:hint="default"/>
      </w:rPr>
    </w:lvl>
    <w:lvl w:ilvl="4">
      <w:start w:val="1"/>
      <w:numFmt w:val="decimal"/>
      <w:isLgl/>
      <w:lvlText w:val="%1.%2.%3.%4.%5."/>
      <w:lvlJc w:val="left"/>
      <w:pPr>
        <w:ind w:left="16960" w:hanging="1080"/>
      </w:pPr>
      <w:rPr>
        <w:rFonts w:cstheme="minorBidi" w:hint="default"/>
      </w:rPr>
    </w:lvl>
    <w:lvl w:ilvl="5">
      <w:start w:val="1"/>
      <w:numFmt w:val="decimal"/>
      <w:isLgl/>
      <w:lvlText w:val="%1.%2.%3.%4.%5.%6."/>
      <w:lvlJc w:val="left"/>
      <w:pPr>
        <w:ind w:left="20930" w:hanging="1080"/>
      </w:pPr>
      <w:rPr>
        <w:rFonts w:cstheme="minorBidi" w:hint="default"/>
      </w:rPr>
    </w:lvl>
    <w:lvl w:ilvl="6">
      <w:start w:val="1"/>
      <w:numFmt w:val="decimal"/>
      <w:isLgl/>
      <w:lvlText w:val="%1.%2.%3.%4.%5.%6.%7."/>
      <w:lvlJc w:val="left"/>
      <w:pPr>
        <w:ind w:left="25260" w:hanging="1440"/>
      </w:pPr>
      <w:rPr>
        <w:rFonts w:cstheme="minorBidi" w:hint="default"/>
      </w:rPr>
    </w:lvl>
    <w:lvl w:ilvl="7">
      <w:start w:val="1"/>
      <w:numFmt w:val="decimal"/>
      <w:isLgl/>
      <w:lvlText w:val="%1.%2.%3.%4.%5.%6.%7.%8."/>
      <w:lvlJc w:val="left"/>
      <w:pPr>
        <w:ind w:left="29230" w:hanging="1440"/>
      </w:pPr>
      <w:rPr>
        <w:rFonts w:cstheme="minorBidi" w:hint="default"/>
      </w:rPr>
    </w:lvl>
    <w:lvl w:ilvl="8">
      <w:start w:val="1"/>
      <w:numFmt w:val="decimal"/>
      <w:isLgl/>
      <w:lvlText w:val="%1.%2.%3.%4.%5.%6.%7.%8.%9."/>
      <w:lvlJc w:val="left"/>
      <w:pPr>
        <w:ind w:left="-31976" w:hanging="1800"/>
      </w:pPr>
      <w:rPr>
        <w:rFonts w:cstheme="minorBidi" w:hint="default"/>
      </w:rPr>
    </w:lvl>
  </w:abstractNum>
  <w:abstractNum w:abstractNumId="3" w15:restartNumberingAfterBreak="0">
    <w:nsid w:val="30765E08"/>
    <w:multiLevelType w:val="hybridMultilevel"/>
    <w:tmpl w:val="D8060464"/>
    <w:lvl w:ilvl="0" w:tplc="B2CCEBD4">
      <w:start w:val="1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8925E5F"/>
    <w:multiLevelType w:val="multilevel"/>
    <w:tmpl w:val="BDDC27B6"/>
    <w:lvl w:ilvl="0">
      <w:start w:val="1"/>
      <w:numFmt w:val="decimal"/>
      <w:lvlText w:val="%1."/>
      <w:lvlJc w:val="left"/>
      <w:pPr>
        <w:ind w:left="360" w:hanging="360"/>
      </w:pPr>
      <w:rPr>
        <w:rFonts w:hint="default"/>
        <w:b w:val="0"/>
        <w:bCs w:val="0"/>
      </w:rPr>
    </w:lvl>
    <w:lvl w:ilvl="1">
      <w:start w:val="1"/>
      <w:numFmt w:val="decimal"/>
      <w:lvlText w:val="%1.%2."/>
      <w:lvlJc w:val="left"/>
      <w:pPr>
        <w:ind w:left="433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5FA0351C"/>
    <w:multiLevelType w:val="hybridMultilevel"/>
    <w:tmpl w:val="C0200046"/>
    <w:lvl w:ilvl="0" w:tplc="D3B0C33E">
      <w:start w:val="1"/>
      <w:numFmt w:val="bullet"/>
      <w:lvlText w:val=""/>
      <w:lvlJc w:val="left"/>
      <w:pPr>
        <w:ind w:left="720" w:hanging="360"/>
      </w:pPr>
      <w:rPr>
        <w:rFonts w:ascii="Wingdings" w:hAnsi="Wingdings" w:hint="default"/>
        <w:color w:val="0070C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58501048">
    <w:abstractNumId w:val="5"/>
  </w:num>
  <w:num w:numId="2" w16cid:durableId="299655768">
    <w:abstractNumId w:val="4"/>
  </w:num>
  <w:num w:numId="3" w16cid:durableId="1399012663">
    <w:abstractNumId w:val="1"/>
  </w:num>
  <w:num w:numId="4" w16cid:durableId="1441490872">
    <w:abstractNumId w:val="3"/>
  </w:num>
  <w:num w:numId="5" w16cid:durableId="614562974">
    <w:abstractNumId w:val="0"/>
  </w:num>
  <w:num w:numId="6" w16cid:durableId="777455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F7"/>
    <w:rsid w:val="00007FB6"/>
    <w:rsid w:val="00021F47"/>
    <w:rsid w:val="00024E35"/>
    <w:rsid w:val="000336F0"/>
    <w:rsid w:val="000470BD"/>
    <w:rsid w:val="00056FF9"/>
    <w:rsid w:val="00076EC5"/>
    <w:rsid w:val="000840DC"/>
    <w:rsid w:val="00097688"/>
    <w:rsid w:val="000A72BE"/>
    <w:rsid w:val="000C760A"/>
    <w:rsid w:val="00107D2C"/>
    <w:rsid w:val="001170E8"/>
    <w:rsid w:val="00117301"/>
    <w:rsid w:val="001312E4"/>
    <w:rsid w:val="00132878"/>
    <w:rsid w:val="00136B31"/>
    <w:rsid w:val="001609B3"/>
    <w:rsid w:val="00163E5E"/>
    <w:rsid w:val="00175E81"/>
    <w:rsid w:val="00182197"/>
    <w:rsid w:val="001C417B"/>
    <w:rsid w:val="001C563D"/>
    <w:rsid w:val="001D6AF4"/>
    <w:rsid w:val="001E3359"/>
    <w:rsid w:val="00202D67"/>
    <w:rsid w:val="00205329"/>
    <w:rsid w:val="00222102"/>
    <w:rsid w:val="002234DB"/>
    <w:rsid w:val="00234BA4"/>
    <w:rsid w:val="002372D2"/>
    <w:rsid w:val="00241045"/>
    <w:rsid w:val="00247287"/>
    <w:rsid w:val="0026090A"/>
    <w:rsid w:val="002744E9"/>
    <w:rsid w:val="00286AC0"/>
    <w:rsid w:val="002A7811"/>
    <w:rsid w:val="002B1713"/>
    <w:rsid w:val="002C2A8D"/>
    <w:rsid w:val="002E6A01"/>
    <w:rsid w:val="0030208C"/>
    <w:rsid w:val="00302EA4"/>
    <w:rsid w:val="003207EB"/>
    <w:rsid w:val="00326126"/>
    <w:rsid w:val="003325C6"/>
    <w:rsid w:val="0033712F"/>
    <w:rsid w:val="0034730F"/>
    <w:rsid w:val="00350362"/>
    <w:rsid w:val="003541FA"/>
    <w:rsid w:val="00360963"/>
    <w:rsid w:val="00382535"/>
    <w:rsid w:val="00392716"/>
    <w:rsid w:val="003A09EF"/>
    <w:rsid w:val="003A5608"/>
    <w:rsid w:val="003B249E"/>
    <w:rsid w:val="003C1B1F"/>
    <w:rsid w:val="003D2608"/>
    <w:rsid w:val="003D6D37"/>
    <w:rsid w:val="003E1167"/>
    <w:rsid w:val="003E15EE"/>
    <w:rsid w:val="003E610E"/>
    <w:rsid w:val="003E668E"/>
    <w:rsid w:val="004323BB"/>
    <w:rsid w:val="00454806"/>
    <w:rsid w:val="00464581"/>
    <w:rsid w:val="0046508A"/>
    <w:rsid w:val="004922F4"/>
    <w:rsid w:val="004F2245"/>
    <w:rsid w:val="004F3D78"/>
    <w:rsid w:val="00507CA1"/>
    <w:rsid w:val="00517EB0"/>
    <w:rsid w:val="00522D74"/>
    <w:rsid w:val="0053463A"/>
    <w:rsid w:val="00535FFB"/>
    <w:rsid w:val="005419B0"/>
    <w:rsid w:val="00544DA7"/>
    <w:rsid w:val="00591625"/>
    <w:rsid w:val="005C7EEC"/>
    <w:rsid w:val="005F4400"/>
    <w:rsid w:val="005F441C"/>
    <w:rsid w:val="00606619"/>
    <w:rsid w:val="00631941"/>
    <w:rsid w:val="006334B9"/>
    <w:rsid w:val="006345F6"/>
    <w:rsid w:val="006351AF"/>
    <w:rsid w:val="0064247E"/>
    <w:rsid w:val="00642A05"/>
    <w:rsid w:val="00656000"/>
    <w:rsid w:val="00667D0F"/>
    <w:rsid w:val="00677CCA"/>
    <w:rsid w:val="006D225F"/>
    <w:rsid w:val="006E0C33"/>
    <w:rsid w:val="006E40B5"/>
    <w:rsid w:val="006F19CC"/>
    <w:rsid w:val="00703E85"/>
    <w:rsid w:val="00727660"/>
    <w:rsid w:val="00737587"/>
    <w:rsid w:val="007406F8"/>
    <w:rsid w:val="00740AB5"/>
    <w:rsid w:val="00762F28"/>
    <w:rsid w:val="00771906"/>
    <w:rsid w:val="00795F61"/>
    <w:rsid w:val="00797FBA"/>
    <w:rsid w:val="007A5216"/>
    <w:rsid w:val="007B047D"/>
    <w:rsid w:val="007B05FA"/>
    <w:rsid w:val="007B50C8"/>
    <w:rsid w:val="007C4261"/>
    <w:rsid w:val="007F3EE5"/>
    <w:rsid w:val="00814D16"/>
    <w:rsid w:val="00815072"/>
    <w:rsid w:val="00841132"/>
    <w:rsid w:val="00844281"/>
    <w:rsid w:val="00852BE4"/>
    <w:rsid w:val="00871B11"/>
    <w:rsid w:val="008A1EBD"/>
    <w:rsid w:val="008C3752"/>
    <w:rsid w:val="008C4B2E"/>
    <w:rsid w:val="008D15E7"/>
    <w:rsid w:val="008E2963"/>
    <w:rsid w:val="008E75EB"/>
    <w:rsid w:val="00903D5D"/>
    <w:rsid w:val="00904E5A"/>
    <w:rsid w:val="009054AA"/>
    <w:rsid w:val="009068A2"/>
    <w:rsid w:val="00924E9D"/>
    <w:rsid w:val="0095706D"/>
    <w:rsid w:val="00963362"/>
    <w:rsid w:val="00970A5F"/>
    <w:rsid w:val="009810C7"/>
    <w:rsid w:val="009B091B"/>
    <w:rsid w:val="009C1026"/>
    <w:rsid w:val="009C2657"/>
    <w:rsid w:val="009D5719"/>
    <w:rsid w:val="009F537F"/>
    <w:rsid w:val="00A03300"/>
    <w:rsid w:val="00A04E8C"/>
    <w:rsid w:val="00A34C79"/>
    <w:rsid w:val="00A47C0E"/>
    <w:rsid w:val="00A75245"/>
    <w:rsid w:val="00A83C2C"/>
    <w:rsid w:val="00A86E21"/>
    <w:rsid w:val="00AB5237"/>
    <w:rsid w:val="00AD0398"/>
    <w:rsid w:val="00AD6A95"/>
    <w:rsid w:val="00AE385D"/>
    <w:rsid w:val="00AF5085"/>
    <w:rsid w:val="00B0252D"/>
    <w:rsid w:val="00B178FB"/>
    <w:rsid w:val="00B17CF0"/>
    <w:rsid w:val="00B22190"/>
    <w:rsid w:val="00B35B3F"/>
    <w:rsid w:val="00B4563D"/>
    <w:rsid w:val="00B45AE4"/>
    <w:rsid w:val="00B56598"/>
    <w:rsid w:val="00B673B9"/>
    <w:rsid w:val="00B67DE3"/>
    <w:rsid w:val="00B77072"/>
    <w:rsid w:val="00B778AC"/>
    <w:rsid w:val="00BC64B8"/>
    <w:rsid w:val="00BF62F5"/>
    <w:rsid w:val="00C330CC"/>
    <w:rsid w:val="00C36BFB"/>
    <w:rsid w:val="00C405CF"/>
    <w:rsid w:val="00C4476F"/>
    <w:rsid w:val="00C61192"/>
    <w:rsid w:val="00C81F26"/>
    <w:rsid w:val="00C834B5"/>
    <w:rsid w:val="00C86BF8"/>
    <w:rsid w:val="00C91BC0"/>
    <w:rsid w:val="00CA6180"/>
    <w:rsid w:val="00CB0DEC"/>
    <w:rsid w:val="00CD42F7"/>
    <w:rsid w:val="00CE00D0"/>
    <w:rsid w:val="00CF46AD"/>
    <w:rsid w:val="00D02060"/>
    <w:rsid w:val="00D21830"/>
    <w:rsid w:val="00D530CB"/>
    <w:rsid w:val="00D719D3"/>
    <w:rsid w:val="00D81B7D"/>
    <w:rsid w:val="00D93634"/>
    <w:rsid w:val="00DC1E44"/>
    <w:rsid w:val="00DD1B30"/>
    <w:rsid w:val="00DE1226"/>
    <w:rsid w:val="00DF582E"/>
    <w:rsid w:val="00E13104"/>
    <w:rsid w:val="00E231C8"/>
    <w:rsid w:val="00E4358E"/>
    <w:rsid w:val="00E542DD"/>
    <w:rsid w:val="00E6211E"/>
    <w:rsid w:val="00E7219A"/>
    <w:rsid w:val="00E8191C"/>
    <w:rsid w:val="00E97930"/>
    <w:rsid w:val="00EA1311"/>
    <w:rsid w:val="00EB0B2C"/>
    <w:rsid w:val="00ED1624"/>
    <w:rsid w:val="00EF07DF"/>
    <w:rsid w:val="00EF235A"/>
    <w:rsid w:val="00EF65A0"/>
    <w:rsid w:val="00F11716"/>
    <w:rsid w:val="00F1628E"/>
    <w:rsid w:val="00F20B44"/>
    <w:rsid w:val="00F20E43"/>
    <w:rsid w:val="00F24BEF"/>
    <w:rsid w:val="00F53134"/>
    <w:rsid w:val="00F60FFD"/>
    <w:rsid w:val="00F6391C"/>
    <w:rsid w:val="00F73757"/>
    <w:rsid w:val="00F75A4C"/>
    <w:rsid w:val="00F82BF2"/>
    <w:rsid w:val="00F93CFD"/>
    <w:rsid w:val="00FA0726"/>
    <w:rsid w:val="00FB7B09"/>
    <w:rsid w:val="00FD6A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E0F0"/>
  <w15:chartTrackingRefBased/>
  <w15:docId w15:val="{D65DE46A-8026-413C-8D70-A2C66585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RVK"/>
    <w:qFormat/>
    <w:rsid w:val="00677CCA"/>
    <w:rPr>
      <w:rFonts w:ascii="Times New Roman" w:hAnsi="Times New Roman"/>
      <w:sz w:val="24"/>
    </w:rPr>
  </w:style>
  <w:style w:type="paragraph" w:styleId="Heading1">
    <w:name w:val="heading 1"/>
    <w:basedOn w:val="Normal"/>
    <w:next w:val="Normal"/>
    <w:link w:val="Heading1Char"/>
    <w:uiPriority w:val="9"/>
    <w:rsid w:val="00CD42F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rsid w:val="00CD42F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D42F7"/>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D42F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D42F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D42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42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42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42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6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1624"/>
  </w:style>
  <w:style w:type="paragraph" w:styleId="Footer">
    <w:name w:val="footer"/>
    <w:basedOn w:val="Normal"/>
    <w:link w:val="FooterChar"/>
    <w:uiPriority w:val="99"/>
    <w:unhideWhenUsed/>
    <w:rsid w:val="00ED16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1624"/>
  </w:style>
  <w:style w:type="character" w:customStyle="1" w:styleId="Heading1Char">
    <w:name w:val="Heading 1 Char"/>
    <w:basedOn w:val="DefaultParagraphFont"/>
    <w:link w:val="Heading1"/>
    <w:uiPriority w:val="9"/>
    <w:rsid w:val="00CD42F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D42F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D42F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D42F7"/>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CD42F7"/>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CD42F7"/>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D42F7"/>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D42F7"/>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D42F7"/>
    <w:rPr>
      <w:rFonts w:eastAsiaTheme="majorEastAsia" w:cstheme="majorBidi"/>
      <w:color w:val="272727" w:themeColor="text1" w:themeTint="D8"/>
      <w:sz w:val="24"/>
    </w:rPr>
  </w:style>
  <w:style w:type="paragraph" w:styleId="Title">
    <w:name w:val="Title"/>
    <w:basedOn w:val="Normal"/>
    <w:next w:val="Normal"/>
    <w:link w:val="TitleChar"/>
    <w:uiPriority w:val="10"/>
    <w:rsid w:val="00CD42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2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CD42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2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CD42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42F7"/>
    <w:rPr>
      <w:rFonts w:ascii="Times New Roman" w:hAnsi="Times New Roman"/>
      <w:i/>
      <w:iCs/>
      <w:color w:val="404040" w:themeColor="text1" w:themeTint="BF"/>
      <w:sz w:val="24"/>
    </w:rPr>
  </w:style>
  <w:style w:type="paragraph" w:styleId="ListParagraph">
    <w:name w:val="List Paragraph"/>
    <w:basedOn w:val="Normal"/>
    <w:uiPriority w:val="34"/>
    <w:rsid w:val="00CD42F7"/>
    <w:pPr>
      <w:ind w:left="720"/>
      <w:contextualSpacing/>
    </w:pPr>
  </w:style>
  <w:style w:type="character" w:styleId="IntenseEmphasis">
    <w:name w:val="Intense Emphasis"/>
    <w:basedOn w:val="DefaultParagraphFont"/>
    <w:uiPriority w:val="21"/>
    <w:rsid w:val="00CD42F7"/>
    <w:rPr>
      <w:i/>
      <w:iCs/>
      <w:color w:val="365F91" w:themeColor="accent1" w:themeShade="BF"/>
    </w:rPr>
  </w:style>
  <w:style w:type="paragraph" w:styleId="IntenseQuote">
    <w:name w:val="Intense Quote"/>
    <w:basedOn w:val="Normal"/>
    <w:next w:val="Normal"/>
    <w:link w:val="IntenseQuoteChar"/>
    <w:uiPriority w:val="30"/>
    <w:rsid w:val="00CD42F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D42F7"/>
    <w:rPr>
      <w:rFonts w:ascii="Times New Roman" w:hAnsi="Times New Roman"/>
      <w:i/>
      <w:iCs/>
      <w:color w:val="365F91" w:themeColor="accent1" w:themeShade="BF"/>
      <w:sz w:val="24"/>
    </w:rPr>
  </w:style>
  <w:style w:type="character" w:styleId="IntenseReference">
    <w:name w:val="Intense Reference"/>
    <w:basedOn w:val="DefaultParagraphFont"/>
    <w:uiPriority w:val="32"/>
    <w:rsid w:val="00CD42F7"/>
    <w:rPr>
      <w:b/>
      <w:bCs/>
      <w:smallCaps/>
      <w:color w:val="365F91" w:themeColor="accent1" w:themeShade="BF"/>
      <w:spacing w:val="5"/>
    </w:rPr>
  </w:style>
  <w:style w:type="character" w:styleId="Hyperlink">
    <w:name w:val="Hyperlink"/>
    <w:basedOn w:val="DefaultParagraphFont"/>
    <w:uiPriority w:val="99"/>
    <w:unhideWhenUsed/>
    <w:rsid w:val="00CD42F7"/>
    <w:rPr>
      <w:color w:val="0000FF" w:themeColor="hyperlink"/>
      <w:u w:val="single"/>
    </w:rPr>
  </w:style>
  <w:style w:type="paragraph" w:styleId="FootnoteText">
    <w:name w:val="footnote text"/>
    <w:basedOn w:val="Normal"/>
    <w:link w:val="FootnoteTextChar"/>
    <w:uiPriority w:val="99"/>
    <w:semiHidden/>
    <w:unhideWhenUsed/>
    <w:rsid w:val="00CD42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42F7"/>
    <w:rPr>
      <w:rFonts w:ascii="Times New Roman" w:hAnsi="Times New Roman"/>
      <w:sz w:val="20"/>
      <w:szCs w:val="20"/>
    </w:rPr>
  </w:style>
  <w:style w:type="character" w:styleId="FootnoteReference">
    <w:name w:val="footnote reference"/>
    <w:basedOn w:val="DefaultParagraphFont"/>
    <w:uiPriority w:val="99"/>
    <w:semiHidden/>
    <w:unhideWhenUsed/>
    <w:rsid w:val="00CD42F7"/>
    <w:rPr>
      <w:vertAlign w:val="superscript"/>
    </w:rPr>
  </w:style>
  <w:style w:type="table" w:styleId="TableGrid">
    <w:name w:val="Table Grid"/>
    <w:basedOn w:val="TableNormal"/>
    <w:uiPriority w:val="59"/>
    <w:rsid w:val="00234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234BA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1">
    <w:name w:val="Grid Table 1 Light Accent 1"/>
    <w:basedOn w:val="TableNormal"/>
    <w:uiPriority w:val="46"/>
    <w:rsid w:val="002B171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470BD"/>
    <w:rPr>
      <w:color w:val="605E5C"/>
      <w:shd w:val="clear" w:color="auto" w:fill="E1DFDD"/>
    </w:rPr>
  </w:style>
  <w:style w:type="paragraph" w:styleId="Revision">
    <w:name w:val="Revision"/>
    <w:hidden/>
    <w:uiPriority w:val="99"/>
    <w:semiHidden/>
    <w:rsid w:val="003541FA"/>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03300"/>
    <w:rPr>
      <w:sz w:val="16"/>
      <w:szCs w:val="16"/>
    </w:rPr>
  </w:style>
  <w:style w:type="paragraph" w:styleId="CommentText">
    <w:name w:val="annotation text"/>
    <w:basedOn w:val="Normal"/>
    <w:link w:val="CommentTextChar"/>
    <w:uiPriority w:val="99"/>
    <w:unhideWhenUsed/>
    <w:rsid w:val="00A03300"/>
    <w:pPr>
      <w:spacing w:line="240" w:lineRule="auto"/>
    </w:pPr>
    <w:rPr>
      <w:sz w:val="20"/>
      <w:szCs w:val="20"/>
    </w:rPr>
  </w:style>
  <w:style w:type="character" w:customStyle="1" w:styleId="CommentTextChar">
    <w:name w:val="Comment Text Char"/>
    <w:basedOn w:val="DefaultParagraphFont"/>
    <w:link w:val="CommentText"/>
    <w:uiPriority w:val="99"/>
    <w:rsid w:val="00A0330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03300"/>
    <w:rPr>
      <w:b/>
      <w:bCs/>
    </w:rPr>
  </w:style>
  <w:style w:type="character" w:customStyle="1" w:styleId="CommentSubjectChar">
    <w:name w:val="Comment Subject Char"/>
    <w:basedOn w:val="CommentTextChar"/>
    <w:link w:val="CommentSubject"/>
    <w:uiPriority w:val="99"/>
    <w:semiHidden/>
    <w:rsid w:val="00A03300"/>
    <w:rPr>
      <w:rFonts w:ascii="Times New Roman" w:hAnsi="Times New Roman"/>
      <w:b/>
      <w:bCs/>
      <w:sz w:val="20"/>
      <w:szCs w:val="20"/>
    </w:rPr>
  </w:style>
  <w:style w:type="paragraph" w:customStyle="1" w:styleId="pf0">
    <w:name w:val="pf0"/>
    <w:basedOn w:val="Normal"/>
    <w:rsid w:val="00CA6180"/>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DefaultParagraphFont"/>
    <w:rsid w:val="00CA6180"/>
    <w:rPr>
      <w:rFonts w:ascii="Segoe UI" w:hAnsi="Segoe UI" w:cs="Segoe UI" w:hint="default"/>
      <w:sz w:val="18"/>
      <w:szCs w:val="18"/>
    </w:rPr>
  </w:style>
  <w:style w:type="character" w:styleId="FollowedHyperlink">
    <w:name w:val="FollowedHyperlink"/>
    <w:basedOn w:val="DefaultParagraphFont"/>
    <w:uiPriority w:val="99"/>
    <w:semiHidden/>
    <w:unhideWhenUsed/>
    <w:rsid w:val="00E131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Salenieks@lrvk.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rmk.ee/wp-content/uploads/2025/04/RMK_majandusaasta_aruanne_2024.pdf" TargetMode="External"/><Relationship Id="rId3" Type="http://schemas.openxmlformats.org/officeDocument/2006/relationships/hyperlink" Target="https://rmk.ee/uudised/uudis/rmk-s-ei-jatka-tood-50-inimest" TargetMode="External"/><Relationship Id="rId7" Type="http://schemas.openxmlformats.org/officeDocument/2006/relationships/hyperlink" Target="https://valitsus.ee/uudised/valitsuse-131125-istungi-kommenteeritud-paevakord" TargetMode="External"/><Relationship Id="rId2" Type="http://schemas.openxmlformats.org/officeDocument/2006/relationships/hyperlink" Target="https://kliimaministeerium.ee/sites/default/files/documents/2025-08/Omaniku%20ootused%20Riigimetsa%20Majandamise%20Keskusele.pdf" TargetMode="External"/><Relationship Id="rId1" Type="http://schemas.openxmlformats.org/officeDocument/2006/relationships/hyperlink" Target="https://rmk.ee/en/sale-of-timber/sales-principles/" TargetMode="External"/><Relationship Id="rId6" Type="http://schemas.openxmlformats.org/officeDocument/2006/relationships/hyperlink" Target="https://rmk.ee/wp-content/uploads/2025/04/RMK_majandusaasta_aruanne_2024.pdf" TargetMode="External"/><Relationship Id="rId5" Type="http://schemas.openxmlformats.org/officeDocument/2006/relationships/hyperlink" Target="https://rmk.ee/wp-content/uploads/2025/04/RMK_majandusaasta_aruanne_2024.pdf" TargetMode="External"/><Relationship Id="rId4" Type="http://schemas.openxmlformats.org/officeDocument/2006/relationships/hyperlink" Target="https://media.rmk.ee/files/RMK_majandusaasta_aruanne_2023.pdf"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6A01E-AE53-4844-BBD0-50A86544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827</Words>
  <Characters>5971</Characters>
  <Application>Microsoft Office Word</Application>
  <DocSecurity>0</DocSecurity>
  <Lines>104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Gatiņa</dc:creator>
  <cp:keywords/>
  <dc:description/>
  <cp:lastModifiedBy>Jānis Salenieks</cp:lastModifiedBy>
  <cp:revision>9</cp:revision>
  <cp:lastPrinted>2025-11-13T17:33:00Z</cp:lastPrinted>
  <dcterms:created xsi:type="dcterms:W3CDTF">2025-11-28T09:45:00Z</dcterms:created>
  <dcterms:modified xsi:type="dcterms:W3CDTF">2025-12-23T08:13:00Z</dcterms:modified>
</cp:coreProperties>
</file>